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02" w:rsidRPr="00916D35" w:rsidRDefault="00F24302" w:rsidP="00F24302">
      <w:pPr>
        <w:pStyle w:val="rg"/>
        <w:outlineLvl w:val="0"/>
        <w:rPr>
          <w:lang w:val="ro-RO"/>
        </w:rPr>
      </w:pPr>
    </w:p>
    <w:p w:rsidR="00F24302" w:rsidRPr="00F24302" w:rsidRDefault="00F24302" w:rsidP="00F24302">
      <w:pPr>
        <w:pStyle w:val="rg"/>
        <w:outlineLvl w:val="0"/>
        <w:rPr>
          <w:b/>
          <w:i/>
          <w:lang w:val="ro-RO" w:eastAsia="ru-RU"/>
        </w:rPr>
      </w:pPr>
      <w:r w:rsidRPr="00F24302">
        <w:rPr>
          <w:b/>
          <w:i/>
          <w:lang w:val="ro-RO"/>
        </w:rPr>
        <w:t>Aprobat</w:t>
      </w:r>
    </w:p>
    <w:p w:rsidR="00F24302" w:rsidRPr="00F24302" w:rsidRDefault="00F24302" w:rsidP="00F24302">
      <w:pPr>
        <w:pStyle w:val="rg"/>
        <w:rPr>
          <w:lang w:val="ro-RO"/>
        </w:rPr>
      </w:pPr>
      <w:r w:rsidRPr="00F24302">
        <w:rPr>
          <w:lang w:val="ro-RO"/>
        </w:rPr>
        <w:t>prin Hotărîrea Curţii de Conturi</w:t>
      </w:r>
    </w:p>
    <w:p w:rsidR="00F24302" w:rsidRPr="00F24302" w:rsidRDefault="00F24302" w:rsidP="00F24302">
      <w:pPr>
        <w:spacing w:after="0" w:line="240" w:lineRule="auto"/>
        <w:jc w:val="right"/>
        <w:rPr>
          <w:rFonts w:ascii="Times New Roman" w:hAnsi="Times New Roman"/>
          <w:sz w:val="24"/>
          <w:szCs w:val="24"/>
          <w:lang w:val="ro-RO"/>
        </w:rPr>
      </w:pPr>
      <w:r w:rsidRPr="00F24302">
        <w:rPr>
          <w:rFonts w:ascii="Times New Roman" w:hAnsi="Times New Roman"/>
          <w:sz w:val="24"/>
          <w:szCs w:val="24"/>
          <w:lang w:val="ro-RO"/>
        </w:rPr>
        <w:t>nr.17 din 23 iunie 2016</w:t>
      </w:r>
    </w:p>
    <w:p w:rsidR="00F24302" w:rsidRPr="00F24302" w:rsidRDefault="00F24302" w:rsidP="00F24302">
      <w:pPr>
        <w:spacing w:after="0"/>
        <w:jc w:val="center"/>
        <w:rPr>
          <w:rFonts w:ascii="Times New Roman" w:hAnsi="Times New Roman"/>
          <w:b/>
          <w:sz w:val="24"/>
          <w:szCs w:val="24"/>
          <w:lang w:val="ro-RO"/>
        </w:rPr>
      </w:pPr>
    </w:p>
    <w:p w:rsidR="00F24302" w:rsidRPr="00F24302" w:rsidRDefault="00F24302" w:rsidP="00F24302">
      <w:pPr>
        <w:spacing w:after="0"/>
        <w:jc w:val="center"/>
        <w:rPr>
          <w:rFonts w:ascii="Times New Roman" w:hAnsi="Times New Roman"/>
          <w:b/>
          <w:bCs/>
          <w:iCs/>
          <w:sz w:val="24"/>
          <w:szCs w:val="24"/>
          <w:lang w:val="ro-RO"/>
        </w:rPr>
      </w:pPr>
      <w:r w:rsidRPr="00F24302">
        <w:rPr>
          <w:rFonts w:ascii="Times New Roman" w:hAnsi="Times New Roman"/>
          <w:b/>
          <w:sz w:val="24"/>
          <w:szCs w:val="24"/>
          <w:lang w:val="ro-RO"/>
        </w:rPr>
        <w:t>RAPORTUL</w:t>
      </w:r>
    </w:p>
    <w:p w:rsidR="00F24302" w:rsidRPr="00F24302" w:rsidRDefault="00F24302" w:rsidP="00F24302">
      <w:pPr>
        <w:spacing w:after="0"/>
        <w:jc w:val="center"/>
        <w:rPr>
          <w:rFonts w:ascii="Times New Roman" w:hAnsi="Times New Roman"/>
          <w:b/>
          <w:sz w:val="24"/>
          <w:szCs w:val="24"/>
          <w:lang w:val="ro-RO"/>
        </w:rPr>
      </w:pPr>
      <w:r w:rsidRPr="00F24302">
        <w:rPr>
          <w:rFonts w:ascii="Times New Roman" w:hAnsi="Times New Roman"/>
          <w:b/>
          <w:bCs/>
          <w:sz w:val="24"/>
          <w:szCs w:val="24"/>
          <w:lang w:val="ro-RO"/>
        </w:rPr>
        <w:t>auditului conformității exercițiului bugetar în cadrul entităților publice locale din raionul  Sîngerei pe anul 2015</w:t>
      </w:r>
    </w:p>
    <w:p w:rsidR="00F24302" w:rsidRPr="00F24302" w:rsidRDefault="00F24302" w:rsidP="00F24302">
      <w:pPr>
        <w:spacing w:after="0" w:line="240" w:lineRule="auto"/>
        <w:rPr>
          <w:rFonts w:ascii="Times New Roman" w:hAnsi="Times New Roman"/>
          <w:b/>
          <w:sz w:val="24"/>
          <w:szCs w:val="24"/>
          <w:lang w:val="ro-RO"/>
        </w:rPr>
      </w:pPr>
    </w:p>
    <w:p w:rsidR="00F24302" w:rsidRPr="00F24302" w:rsidRDefault="00F24302" w:rsidP="00F24302">
      <w:pPr>
        <w:spacing w:after="0" w:line="240" w:lineRule="auto"/>
        <w:jc w:val="center"/>
        <w:rPr>
          <w:rFonts w:ascii="Times New Roman" w:hAnsi="Times New Roman"/>
          <w:b/>
          <w:sz w:val="24"/>
          <w:szCs w:val="24"/>
          <w:lang w:val="ro-RO"/>
        </w:rPr>
      </w:pPr>
    </w:p>
    <w:p w:rsidR="00F24302" w:rsidRPr="00F24302" w:rsidRDefault="00F24302" w:rsidP="00F24302">
      <w:pPr>
        <w:spacing w:after="0" w:line="240" w:lineRule="auto"/>
        <w:jc w:val="center"/>
        <w:rPr>
          <w:rFonts w:ascii="Times New Roman" w:hAnsi="Times New Roman"/>
          <w:b/>
          <w:sz w:val="24"/>
          <w:szCs w:val="24"/>
          <w:lang w:val="ro-RO"/>
        </w:rPr>
      </w:pPr>
      <w:r w:rsidRPr="00F24302">
        <w:rPr>
          <w:rFonts w:ascii="Times New Roman" w:hAnsi="Times New Roman"/>
          <w:b/>
          <w:sz w:val="24"/>
          <w:szCs w:val="24"/>
          <w:lang w:val="ro-RO"/>
        </w:rPr>
        <w:t>LISTA ABREVIERILOR</w:t>
      </w:r>
    </w:p>
    <w:p w:rsidR="00F24302" w:rsidRPr="00F24302" w:rsidRDefault="00F24302" w:rsidP="00F24302">
      <w:pPr>
        <w:spacing w:after="0" w:line="240" w:lineRule="auto"/>
        <w:jc w:val="center"/>
        <w:rPr>
          <w:rFonts w:ascii="Times New Roman" w:hAnsi="Times New Roman"/>
          <w:b/>
          <w:sz w:val="24"/>
          <w:szCs w:val="24"/>
          <w:lang w:val="ro-R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16"/>
      </w:tblGrid>
      <w:tr w:rsidR="00F24302" w:rsidRPr="00F24302" w:rsidTr="006B6AE0">
        <w:trPr>
          <w:trHeight w:val="336"/>
        </w:trPr>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b/>
                <w:sz w:val="24"/>
                <w:szCs w:val="24"/>
                <w:lang w:val="ro-RO" w:eastAsia="ja-JP"/>
              </w:rPr>
            </w:pPr>
            <w:r w:rsidRPr="00F24302">
              <w:rPr>
                <w:rFonts w:ascii="Times New Roman" w:eastAsia="Times New Roman" w:hAnsi="Times New Roman"/>
                <w:b/>
                <w:sz w:val="24"/>
                <w:szCs w:val="24"/>
                <w:lang w:val="ro-RO" w:eastAsia="ja-JP"/>
              </w:rPr>
              <w:t>Abrevierea</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b/>
                <w:sz w:val="24"/>
                <w:szCs w:val="24"/>
                <w:lang w:val="ro-RO" w:eastAsia="ja-JP"/>
              </w:rPr>
            </w:pPr>
            <w:r w:rsidRPr="00F24302">
              <w:rPr>
                <w:rFonts w:ascii="Times New Roman" w:eastAsia="Times New Roman" w:hAnsi="Times New Roman"/>
                <w:b/>
                <w:sz w:val="24"/>
                <w:szCs w:val="24"/>
                <w:lang w:val="ro-RO" w:eastAsia="ja-JP"/>
              </w:rPr>
              <w:t>Termenul abreviat</w:t>
            </w:r>
          </w:p>
        </w:tc>
      </w:tr>
      <w:tr w:rsidR="00F24302" w:rsidRPr="00F24302" w:rsidTr="006B6AE0">
        <w:trPr>
          <w:trHeight w:val="230"/>
        </w:trPr>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AAPL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Autorități ale administrației publice locale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APL</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Administrația publică locală</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AP</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Aparatul președintelui raionului</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CC</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Consiliul comunei</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CL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Consiliul local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CO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Consiliul orășenesc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CR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Consiliul raional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CS</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Consiliul sătesc</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DAA</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Direcția Agricultură și Alimentație</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DASPF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Direcția Asistență Socială și Protecție a Familiei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DE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Direcția Educație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DF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Direcția Finanțe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DS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Direcția pentru Statistică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HG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Hotărîrea Guvernului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IFS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Inspectoratul Fiscal de Stat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ÎM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Întreprindere municipală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iCs/>
                <w:sz w:val="24"/>
                <w:szCs w:val="24"/>
                <w:lang w:val="ro-RO" w:eastAsia="ja-JP"/>
              </w:rPr>
              <w:t>Î</w:t>
            </w:r>
            <w:r w:rsidRPr="00F24302">
              <w:rPr>
                <w:rFonts w:ascii="Times New Roman" w:eastAsia="Times New Roman" w:hAnsi="Times New Roman"/>
                <w:sz w:val="24"/>
                <w:szCs w:val="24"/>
                <w:lang w:val="ro-RO" w:eastAsia="ja-JP"/>
              </w:rPr>
              <w:t xml:space="preserve">S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Întreprindere de stat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iCs/>
                <w:sz w:val="24"/>
                <w:szCs w:val="24"/>
                <w:lang w:val="ro-RO" w:eastAsia="ja-JP"/>
              </w:rPr>
            </w:pPr>
            <w:r w:rsidRPr="00F24302">
              <w:rPr>
                <w:rFonts w:ascii="Times New Roman" w:eastAsia="Times New Roman" w:hAnsi="Times New Roman"/>
                <w:iCs/>
                <w:sz w:val="24"/>
                <w:szCs w:val="24"/>
                <w:lang w:val="ro-RO" w:eastAsia="ja-JP"/>
              </w:rPr>
              <w:t>LT</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Liceu teoretic</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MF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Ministerul Finanțelor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OCT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Oficiul cadastral teritorial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SA</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Societate pe acțiuni</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SRFC</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Serviciul Relații Funciare și Cadastru</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UAT </w:t>
            </w:r>
          </w:p>
        </w:tc>
        <w:tc>
          <w:tcPr>
            <w:tcW w:w="8016"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 xml:space="preserve">Unitate administrativ-teritorială </w:t>
            </w:r>
          </w:p>
        </w:tc>
      </w:tr>
      <w:tr w:rsidR="00F24302" w:rsidRPr="00F24302" w:rsidTr="006B6AE0">
        <w:tc>
          <w:tcPr>
            <w:tcW w:w="1555" w:type="dxa"/>
            <w:tcBorders>
              <w:top w:val="single" w:sz="4" w:space="0" w:color="auto"/>
              <w:left w:val="single" w:sz="4" w:space="0" w:color="auto"/>
              <w:bottom w:val="single" w:sz="4" w:space="0" w:color="auto"/>
              <w:right w:val="single" w:sz="4" w:space="0" w:color="auto"/>
            </w:tcBorders>
            <w:vAlign w:val="center"/>
            <w:hideMark/>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SCITL</w:t>
            </w:r>
          </w:p>
        </w:tc>
        <w:tc>
          <w:tcPr>
            <w:tcW w:w="8016" w:type="dxa"/>
            <w:tcBorders>
              <w:top w:val="single" w:sz="4" w:space="0" w:color="auto"/>
              <w:left w:val="single" w:sz="4" w:space="0" w:color="auto"/>
              <w:bottom w:val="single" w:sz="4" w:space="0" w:color="auto"/>
              <w:right w:val="single" w:sz="4" w:space="0" w:color="auto"/>
            </w:tcBorders>
            <w:vAlign w:val="center"/>
          </w:tcPr>
          <w:p w:rsidR="00F24302" w:rsidRPr="00F24302" w:rsidRDefault="00F24302" w:rsidP="006B6AE0">
            <w:pPr>
              <w:spacing w:after="0" w:line="240" w:lineRule="auto"/>
              <w:rPr>
                <w:rFonts w:ascii="Times New Roman" w:eastAsia="Times New Roman" w:hAnsi="Times New Roman"/>
                <w:sz w:val="24"/>
                <w:szCs w:val="24"/>
                <w:lang w:val="ro-RO" w:eastAsia="ja-JP"/>
              </w:rPr>
            </w:pPr>
            <w:r w:rsidRPr="00F24302">
              <w:rPr>
                <w:rFonts w:ascii="Times New Roman" w:eastAsia="Times New Roman" w:hAnsi="Times New Roman"/>
                <w:sz w:val="24"/>
                <w:szCs w:val="24"/>
                <w:lang w:val="ro-RO" w:eastAsia="ja-JP"/>
              </w:rPr>
              <w:t>Serviciul de colectare a impozitelor și taxelor locale</w:t>
            </w:r>
          </w:p>
        </w:tc>
      </w:tr>
    </w:tbl>
    <w:p w:rsidR="00F24302" w:rsidRPr="00F24302" w:rsidRDefault="00F24302" w:rsidP="00F24302">
      <w:pPr>
        <w:pStyle w:val="a3"/>
        <w:ind w:left="709"/>
        <w:rPr>
          <w:szCs w:val="24"/>
          <w:highlight w:val="yellow"/>
          <w:lang w:val="ro-RO"/>
        </w:rPr>
      </w:pPr>
    </w:p>
    <w:p w:rsidR="00F24302" w:rsidRPr="00F24302" w:rsidRDefault="00F24302" w:rsidP="00F24302">
      <w:pPr>
        <w:spacing w:after="120" w:line="240" w:lineRule="auto"/>
        <w:rPr>
          <w:rFonts w:ascii="Times New Roman" w:hAnsi="Times New Roman"/>
          <w:b/>
          <w:bCs/>
          <w:sz w:val="24"/>
          <w:szCs w:val="24"/>
          <w:lang w:val="ro-RO"/>
        </w:rPr>
      </w:pPr>
    </w:p>
    <w:p w:rsidR="00F24302" w:rsidRPr="00F24302" w:rsidRDefault="00F24302" w:rsidP="00F24302">
      <w:pPr>
        <w:spacing w:after="120" w:line="240" w:lineRule="auto"/>
        <w:jc w:val="center"/>
        <w:rPr>
          <w:rFonts w:ascii="Times New Roman" w:hAnsi="Times New Roman"/>
          <w:b/>
          <w:bCs/>
          <w:sz w:val="24"/>
          <w:szCs w:val="24"/>
          <w:lang w:val="ro-RO"/>
        </w:rPr>
      </w:pPr>
      <w:r w:rsidRPr="00F24302">
        <w:rPr>
          <w:rFonts w:ascii="Times New Roman" w:hAnsi="Times New Roman"/>
          <w:b/>
          <w:bCs/>
          <w:sz w:val="24"/>
          <w:szCs w:val="24"/>
          <w:lang w:val="ro-RO"/>
        </w:rPr>
        <w:t>INTRODUCERE</w:t>
      </w:r>
    </w:p>
    <w:p w:rsidR="00F24302" w:rsidRPr="00F24302" w:rsidRDefault="00F24302" w:rsidP="00F24302">
      <w:pPr>
        <w:spacing w:after="0" w:line="240" w:lineRule="auto"/>
        <w:ind w:firstLine="567"/>
        <w:contextualSpacing/>
        <w:jc w:val="both"/>
        <w:rPr>
          <w:rFonts w:ascii="Times New Roman" w:eastAsia="Times New Roman" w:hAnsi="Times New Roman"/>
          <w:sz w:val="24"/>
          <w:szCs w:val="24"/>
          <w:lang w:val="ro-RO" w:eastAsia="ru-RU"/>
        </w:rPr>
      </w:pPr>
      <w:r w:rsidRPr="00F24302">
        <w:rPr>
          <w:rFonts w:ascii="Times New Roman" w:eastAsia="Times New Roman" w:hAnsi="Times New Roman"/>
          <w:sz w:val="24"/>
          <w:szCs w:val="24"/>
          <w:lang w:val="ro-RO" w:eastAsia="ru-RU"/>
        </w:rPr>
        <w:t>Prezenta misiune de audit a fost realizată în temeiul prevederilor art.28 și art.31 din Legea nr.261-XVI din 05.12.2008</w:t>
      </w:r>
      <w:r w:rsidRPr="00F24302">
        <w:rPr>
          <w:rStyle w:val="a7"/>
          <w:rFonts w:ascii="Times New Roman" w:eastAsia="Times New Roman" w:hAnsi="Times New Roman"/>
          <w:sz w:val="24"/>
          <w:szCs w:val="24"/>
          <w:lang w:val="ro-RO" w:eastAsia="ru-RU"/>
        </w:rPr>
        <w:footnoteReference w:id="1"/>
      </w:r>
      <w:r w:rsidRPr="00F24302">
        <w:rPr>
          <w:rFonts w:ascii="Times New Roman" w:eastAsia="Times New Roman" w:hAnsi="Times New Roman"/>
          <w:sz w:val="24"/>
          <w:szCs w:val="24"/>
          <w:lang w:val="ro-RO" w:eastAsia="ru-RU"/>
        </w:rPr>
        <w:t xml:space="preserve"> și</w:t>
      </w:r>
      <w:r w:rsidRPr="00F24302">
        <w:rPr>
          <w:rFonts w:ascii="Times New Roman" w:hAnsi="Times New Roman"/>
          <w:sz w:val="24"/>
          <w:szCs w:val="24"/>
          <w:lang w:val="ro-RO"/>
        </w:rPr>
        <w:t xml:space="preserve"> în conformitate cu Programul activității de audit al Curții de Conturi pe anul 2016</w:t>
      </w:r>
      <w:r w:rsidRPr="00F24302">
        <w:rPr>
          <w:rStyle w:val="a7"/>
          <w:rFonts w:ascii="Times New Roman" w:hAnsi="Times New Roman"/>
          <w:sz w:val="24"/>
          <w:szCs w:val="24"/>
          <w:lang w:val="ro-RO"/>
        </w:rPr>
        <w:footnoteReference w:id="2"/>
      </w:r>
      <w:r w:rsidRPr="00F24302">
        <w:rPr>
          <w:rFonts w:ascii="Times New Roman" w:hAnsi="Times New Roman"/>
          <w:sz w:val="24"/>
          <w:szCs w:val="24"/>
          <w:lang w:val="ro-RO"/>
        </w:rPr>
        <w:t xml:space="preserve">, </w:t>
      </w:r>
      <w:r w:rsidRPr="00F24302">
        <w:rPr>
          <w:rFonts w:ascii="Times New Roman" w:eastAsia="Times New Roman" w:hAnsi="Times New Roman"/>
          <w:sz w:val="24"/>
          <w:szCs w:val="24"/>
          <w:lang w:val="ro-RO" w:eastAsia="ru-RU"/>
        </w:rPr>
        <w:t>avînd drept scop determinarea dacă autoritățile publice locale din raion: au respectat legalitatea și regularitatea în procesul bugetar; au identificat și administrat integral veniturile publice; au gestionat cheltuielile bugetare în mod prudent și eficient.</w:t>
      </w:r>
    </w:p>
    <w:p w:rsidR="00F24302" w:rsidRPr="00F24302" w:rsidRDefault="00F24302" w:rsidP="00F24302">
      <w:pPr>
        <w:tabs>
          <w:tab w:val="left" w:pos="0"/>
        </w:tabs>
        <w:spacing w:after="0" w:line="240" w:lineRule="auto"/>
        <w:ind w:firstLine="567"/>
        <w:jc w:val="both"/>
        <w:rPr>
          <w:rFonts w:ascii="Times New Roman" w:hAnsi="Times New Roman"/>
          <w:sz w:val="24"/>
          <w:szCs w:val="24"/>
          <w:lang w:val="ro-RO"/>
        </w:rPr>
      </w:pPr>
      <w:r w:rsidRPr="00F24302">
        <w:rPr>
          <w:rFonts w:ascii="Times New Roman" w:hAnsi="Times New Roman"/>
          <w:sz w:val="24"/>
          <w:szCs w:val="24"/>
          <w:lang w:val="ro-RO"/>
        </w:rPr>
        <w:t xml:space="preserve">Informațiile generale privind raionul Sîngerei, </w:t>
      </w:r>
      <w:r w:rsidRPr="00F24302">
        <w:rPr>
          <w:rFonts w:ascii="Times New Roman" w:eastAsia="Times New Roman" w:hAnsi="Times New Roman"/>
          <w:bCs/>
          <w:sz w:val="24"/>
          <w:szCs w:val="24"/>
          <w:lang w:val="ro-RO" w:eastAsia="ru-RU"/>
        </w:rPr>
        <w:t>cadrul normativ și legislativ relevant</w:t>
      </w:r>
      <w:r w:rsidRPr="00F24302">
        <w:rPr>
          <w:rFonts w:ascii="Times New Roman" w:eastAsia="Times New Roman" w:hAnsi="Times New Roman"/>
          <w:sz w:val="24"/>
          <w:szCs w:val="24"/>
          <w:lang w:val="ro-RO" w:eastAsia="ru-RU"/>
        </w:rPr>
        <w:t xml:space="preserve"> (care vizează bazele juridice, organizatorice și financiare de constituire și utilizare a bugetului raionului, </w:t>
      </w:r>
      <w:r w:rsidRPr="00F24302">
        <w:rPr>
          <w:rFonts w:ascii="Times New Roman" w:eastAsia="Times New Roman" w:hAnsi="Times New Roman"/>
          <w:sz w:val="24"/>
          <w:szCs w:val="24"/>
          <w:lang w:val="ro-RO" w:eastAsia="ru-RU"/>
        </w:rPr>
        <w:lastRenderedPageBreak/>
        <w:t xml:space="preserve">precum și evidența contabilă în cadrul autorităților publice supuse auditării), derularea procesului bugetar sînt expuse în Anexa nr.1 </w:t>
      </w:r>
      <w:r w:rsidRPr="00F24302">
        <w:rPr>
          <w:rFonts w:ascii="Times New Roman" w:hAnsi="Times New Roman"/>
          <w:sz w:val="24"/>
          <w:szCs w:val="24"/>
          <w:lang w:val="ro-RO"/>
        </w:rPr>
        <w:t>la prezentul Raport de audit.</w:t>
      </w:r>
      <w:r w:rsidRPr="00F24302">
        <w:rPr>
          <w:rFonts w:ascii="Times New Roman" w:eastAsia="Times New Roman" w:hAnsi="Times New Roman"/>
          <w:sz w:val="24"/>
          <w:szCs w:val="24"/>
          <w:lang w:val="ro-RO" w:eastAsia="ru-RU"/>
        </w:rPr>
        <w:t xml:space="preserve"> Anexa nr.2 cuprinde c</w:t>
      </w:r>
      <w:r w:rsidRPr="00F24302">
        <w:rPr>
          <w:rFonts w:ascii="Times New Roman" w:hAnsi="Times New Roman"/>
          <w:sz w:val="24"/>
          <w:szCs w:val="24"/>
          <w:lang w:val="ro-RO"/>
        </w:rPr>
        <w:t>ontextul general aferent realizării efective a veniturilor și cheltuielilor bugetelor locale, iar o</w:t>
      </w:r>
      <w:r w:rsidRPr="00F24302">
        <w:rPr>
          <w:rFonts w:ascii="Times New Roman" w:eastAsia="Times New Roman" w:hAnsi="Times New Roman"/>
          <w:bCs/>
          <w:sz w:val="24"/>
          <w:szCs w:val="24"/>
          <w:lang w:val="ro-RO" w:eastAsia="ru-RU"/>
        </w:rPr>
        <w:t>biectivele auditului, domeniul de aplicare și metodologia</w:t>
      </w:r>
      <w:r w:rsidRPr="00F24302">
        <w:rPr>
          <w:rFonts w:ascii="Times New Roman" w:hAnsi="Times New Roman"/>
          <w:sz w:val="24"/>
          <w:szCs w:val="24"/>
          <w:lang w:val="ro-RO"/>
        </w:rPr>
        <w:t xml:space="preserve"> sînt prezentate în Anexa nr.3.</w:t>
      </w:r>
      <w:r w:rsidRPr="00F24302">
        <w:rPr>
          <w:rFonts w:ascii="Times New Roman" w:eastAsia="Times New Roman" w:hAnsi="Times New Roman"/>
          <w:sz w:val="24"/>
          <w:szCs w:val="24"/>
          <w:lang w:val="ro-RO" w:eastAsia="ru-RU"/>
        </w:rPr>
        <w:t xml:space="preserve"> </w:t>
      </w:r>
      <w:r w:rsidRPr="00F24302">
        <w:rPr>
          <w:rFonts w:ascii="Times New Roman" w:hAnsi="Times New Roman"/>
          <w:sz w:val="24"/>
          <w:szCs w:val="24"/>
          <w:lang w:val="ro-RO"/>
        </w:rPr>
        <w:t>În scop informativ, datele-cheie sintetizate privind exercițiul bugetar 2015 sînt expuse în Anexele nr.4-6, iar în Anexele nr.7-9 se prezintă informațiile cu privire la neregulile și abaterile sintetizate pe obiectivele auditului.</w:t>
      </w:r>
      <w:r w:rsidRPr="00F24302">
        <w:rPr>
          <w:rFonts w:ascii="Times New Roman" w:eastAsia="Times New Roman" w:hAnsi="Times New Roman"/>
          <w:sz w:val="24"/>
          <w:szCs w:val="24"/>
          <w:lang w:val="ro-RO"/>
        </w:rPr>
        <w:t xml:space="preserve"> </w:t>
      </w:r>
      <w:r w:rsidRPr="00F24302">
        <w:rPr>
          <w:rFonts w:ascii="Times New Roman" w:hAnsi="Times New Roman"/>
          <w:sz w:val="24"/>
          <w:szCs w:val="24"/>
          <w:lang w:val="ro-RO"/>
        </w:rPr>
        <w:t>Anexa nr.10 conține unele măsuri întreprinse de AAPL pe marginea Raportului de audit.</w:t>
      </w:r>
    </w:p>
    <w:p w:rsidR="00F24302" w:rsidRPr="00F24302" w:rsidRDefault="00F24302" w:rsidP="00F24302">
      <w:pPr>
        <w:tabs>
          <w:tab w:val="left" w:pos="0"/>
        </w:tabs>
        <w:spacing w:after="0" w:line="240" w:lineRule="auto"/>
        <w:ind w:firstLine="567"/>
        <w:jc w:val="both"/>
        <w:rPr>
          <w:rFonts w:ascii="Times New Roman" w:hAnsi="Times New Roman"/>
          <w:sz w:val="24"/>
          <w:szCs w:val="24"/>
          <w:lang w:val="ro-RO"/>
        </w:rPr>
      </w:pPr>
    </w:p>
    <w:p w:rsidR="00F24302" w:rsidRPr="00F24302" w:rsidRDefault="00F24302" w:rsidP="00F24302">
      <w:pPr>
        <w:tabs>
          <w:tab w:val="left" w:pos="0"/>
        </w:tabs>
        <w:spacing w:after="0" w:line="240" w:lineRule="auto"/>
        <w:ind w:firstLine="567"/>
        <w:jc w:val="both"/>
        <w:rPr>
          <w:rFonts w:ascii="Times New Roman" w:hAnsi="Times New Roman"/>
          <w:sz w:val="24"/>
          <w:szCs w:val="24"/>
          <w:lang w:val="ro-RO"/>
        </w:rPr>
      </w:pPr>
    </w:p>
    <w:p w:rsidR="00F24302" w:rsidRPr="00F24302" w:rsidRDefault="00F24302" w:rsidP="00F24302">
      <w:pPr>
        <w:spacing w:after="120" w:line="240" w:lineRule="auto"/>
        <w:jc w:val="center"/>
        <w:rPr>
          <w:rFonts w:ascii="Times New Roman" w:hAnsi="Times New Roman"/>
          <w:b/>
          <w:bCs/>
          <w:sz w:val="24"/>
          <w:szCs w:val="24"/>
          <w:lang w:val="ro-RO"/>
        </w:rPr>
      </w:pPr>
      <w:r w:rsidRPr="00F24302">
        <w:rPr>
          <w:rFonts w:ascii="Times New Roman" w:hAnsi="Times New Roman"/>
          <w:b/>
          <w:bCs/>
          <w:sz w:val="24"/>
          <w:szCs w:val="24"/>
          <w:lang w:val="ro-RO"/>
        </w:rPr>
        <w:t>CONSTATĂRI, CONCLUZII ŞI RECOMANDĂRI</w:t>
      </w:r>
    </w:p>
    <w:p w:rsidR="00F24302" w:rsidRPr="00F24302" w:rsidRDefault="00F24302" w:rsidP="00F24302">
      <w:pPr>
        <w:spacing w:after="0" w:line="240" w:lineRule="auto"/>
        <w:ind w:firstLine="567"/>
        <w:jc w:val="both"/>
        <w:rPr>
          <w:rFonts w:ascii="Times New Roman" w:hAnsi="Times New Roman"/>
          <w:b/>
          <w:bCs/>
          <w:i/>
          <w:sz w:val="24"/>
          <w:szCs w:val="24"/>
          <w:u w:val="single"/>
          <w:lang w:val="ro-RO"/>
        </w:rPr>
      </w:pPr>
      <w:r w:rsidRPr="00F24302">
        <w:rPr>
          <w:rFonts w:ascii="Times New Roman" w:hAnsi="Times New Roman"/>
          <w:b/>
          <w:bCs/>
          <w:sz w:val="24"/>
          <w:szCs w:val="24"/>
          <w:u w:val="single"/>
          <w:lang w:val="ro-RO"/>
        </w:rPr>
        <w:tab/>
        <w:t xml:space="preserve">OBIECTIVUL I: </w:t>
      </w:r>
      <w:r w:rsidRPr="00F24302">
        <w:rPr>
          <w:rFonts w:ascii="Times New Roman" w:hAnsi="Times New Roman"/>
          <w:b/>
          <w:bCs/>
          <w:i/>
          <w:sz w:val="24"/>
          <w:szCs w:val="24"/>
          <w:u w:val="single"/>
          <w:lang w:val="ro-RO"/>
        </w:rPr>
        <w:t>Au identificat, evaluat și colectat UAT veniturile bugetare în conformitate cu cadrul legal în vigoare, inclusiv cu Legea privind finanțele publice locale?</w:t>
      </w:r>
    </w:p>
    <w:p w:rsidR="00F24302" w:rsidRPr="00F24302" w:rsidRDefault="00F24302" w:rsidP="00F24302">
      <w:pPr>
        <w:pStyle w:val="a3"/>
        <w:tabs>
          <w:tab w:val="left" w:pos="0"/>
        </w:tabs>
        <w:rPr>
          <w:bCs/>
          <w:iCs/>
          <w:szCs w:val="24"/>
          <w:lang w:val="ro-RO" w:eastAsia="zh-CN"/>
        </w:rPr>
      </w:pPr>
      <w:r w:rsidRPr="00F24302">
        <w:rPr>
          <w:szCs w:val="24"/>
          <w:lang w:val="ro-RO"/>
        </w:rPr>
        <w:t xml:space="preserve">Pornind de la faptul că derularea procesului bugetar la nivel local are loc în contextul procesului bugetar realizat la scară națională și </w:t>
      </w:r>
      <w:r w:rsidRPr="00F24302">
        <w:rPr>
          <w:szCs w:val="24"/>
          <w:lang w:val="ro-RO" w:eastAsia="ro-RO"/>
        </w:rPr>
        <w:t>reprezintă agenda/calendarul de acțiuni în care se determină capacitatea autorităților de resort privind cuantificarea și evaluarea resurselor disponibile aferente realizării obiectivelor propuse</w:t>
      </w:r>
      <w:r w:rsidRPr="00F24302">
        <w:rPr>
          <w:szCs w:val="24"/>
          <w:lang w:val="ro-RO"/>
        </w:rPr>
        <w:t xml:space="preserve">, AAPL din raionul Sîngerei urmează să efectueze o analiză amplă de fond a materiei impozabile aferente formării veniturilor bugetare per total, inclusiv a celor proprii. </w:t>
      </w:r>
      <w:r w:rsidRPr="00F24302">
        <w:rPr>
          <w:bCs/>
          <w:iCs/>
          <w:szCs w:val="24"/>
          <w:lang w:val="ro-RO"/>
        </w:rPr>
        <w:t xml:space="preserve">Prezența unor </w:t>
      </w:r>
      <w:r w:rsidRPr="00F24302">
        <w:rPr>
          <w:szCs w:val="24"/>
          <w:lang w:val="ro-RO" w:eastAsia="ro-RO"/>
        </w:rPr>
        <w:t>iregularități</w:t>
      </w:r>
      <w:r w:rsidRPr="00F24302">
        <w:rPr>
          <w:bCs/>
          <w:iCs/>
          <w:szCs w:val="24"/>
          <w:lang w:val="ro-RO"/>
        </w:rPr>
        <w:t xml:space="preserve"> instituționale, cum ar fi lipsa sau irelevanța unor obiective de consolidare a bazei economico-financiare a teritoriului, cadrul metodologic neajustat și instrumentele analitice</w:t>
      </w:r>
      <w:r w:rsidRPr="00F24302">
        <w:rPr>
          <w:szCs w:val="24"/>
          <w:lang w:val="ro-RO"/>
        </w:rPr>
        <w:t xml:space="preserve"> neadecvate de evaluare a prognozelor fiscal-bugetare aferente formării indicatorilor credibili, </w:t>
      </w:r>
      <w:r w:rsidRPr="00F24302">
        <w:rPr>
          <w:bCs/>
          <w:iCs/>
          <w:szCs w:val="24"/>
          <w:lang w:val="ro-RO"/>
        </w:rPr>
        <w:t>au generat subevaluarea veniturilor pasibile formării bugetelor locale.</w:t>
      </w:r>
      <w:r w:rsidRPr="00F24302">
        <w:rPr>
          <w:rFonts w:eastAsia="Times New Roman"/>
          <w:szCs w:val="24"/>
          <w:lang w:val="ro-RO"/>
        </w:rPr>
        <w:t xml:space="preserve"> Totodată, se atestă că această situație se repetă an de an, cauza fiind abordarea nesistemică, problematică de către autoritățile de resort și preocuparea neadecvată din partea persoanelor cu funcții de răspundere, responsabile de procesul bugetar.</w:t>
      </w:r>
    </w:p>
    <w:p w:rsidR="00F24302" w:rsidRPr="00F24302" w:rsidRDefault="00F24302" w:rsidP="00F24302">
      <w:pPr>
        <w:spacing w:after="120" w:line="240" w:lineRule="auto"/>
        <w:ind w:firstLine="567"/>
        <w:jc w:val="both"/>
        <w:rPr>
          <w:rFonts w:ascii="Times New Roman" w:eastAsia="Times New Roman" w:hAnsi="Times New Roman"/>
          <w:sz w:val="24"/>
          <w:szCs w:val="24"/>
          <w:lang w:val="ro-RO"/>
        </w:rPr>
      </w:pPr>
      <w:r w:rsidRPr="00F24302">
        <w:rPr>
          <w:rFonts w:ascii="Times New Roman" w:eastAsia="Times New Roman" w:hAnsi="Times New Roman"/>
          <w:sz w:val="24"/>
          <w:szCs w:val="24"/>
          <w:lang w:val="ro-RO"/>
        </w:rPr>
        <w:t>Cele mai semnificative probleme, precum și aspecte generatoare de nereguli și riscuri la compartimentul respectiv sînt expuse în subcapitolele următoare.</w:t>
      </w:r>
    </w:p>
    <w:p w:rsidR="00F24302" w:rsidRPr="00F24302" w:rsidRDefault="00F24302" w:rsidP="00F24302">
      <w:pPr>
        <w:pStyle w:val="a3"/>
        <w:widowControl w:val="0"/>
        <w:numPr>
          <w:ilvl w:val="0"/>
          <w:numId w:val="4"/>
        </w:numPr>
        <w:tabs>
          <w:tab w:val="left" w:pos="0"/>
          <w:tab w:val="left" w:pos="709"/>
          <w:tab w:val="left" w:pos="851"/>
        </w:tabs>
        <w:suppressAutoHyphens/>
        <w:autoSpaceDN w:val="0"/>
        <w:spacing w:after="120"/>
        <w:ind w:left="0" w:firstLine="567"/>
        <w:rPr>
          <w:i/>
          <w:szCs w:val="24"/>
          <w:lang w:val="ro-RO" w:eastAsia="zh-CN"/>
        </w:rPr>
      </w:pPr>
      <w:r w:rsidRPr="00F24302">
        <w:rPr>
          <w:rFonts w:eastAsia="Times New Roman"/>
          <w:b/>
          <w:bCs/>
          <w:i/>
          <w:iCs/>
          <w:szCs w:val="24"/>
          <w:lang w:val="ro-RO"/>
        </w:rPr>
        <w:t>Managementul existent la administrarea veniturilor bugetelor UAT din raionul Sîngerei nu a asigurat încasarea deplină a tuturor veniturilor planificate. Totodată, executarea veniturilor pe compartimente, care a variat de la 10% pînă la 810%, denotă vulnerabilitatea procesului de planificare a veniturilor publice.</w:t>
      </w:r>
    </w:p>
    <w:p w:rsidR="00F24302" w:rsidRPr="00F24302" w:rsidRDefault="00F24302" w:rsidP="00F24302">
      <w:pPr>
        <w:spacing w:after="0" w:line="240" w:lineRule="auto"/>
        <w:ind w:firstLine="567"/>
        <w:jc w:val="both"/>
        <w:rPr>
          <w:rFonts w:ascii="Times New Roman" w:eastAsia="Times New Roman" w:hAnsi="Times New Roman"/>
          <w:sz w:val="24"/>
          <w:szCs w:val="24"/>
          <w:lang w:val="ro-RO"/>
        </w:rPr>
      </w:pPr>
      <w:r w:rsidRPr="00F24302">
        <w:rPr>
          <w:rFonts w:ascii="Times New Roman" w:eastAsia="Times New Roman" w:hAnsi="Times New Roman"/>
          <w:sz w:val="24"/>
          <w:szCs w:val="24"/>
          <w:lang w:val="ro-RO"/>
        </w:rPr>
        <w:t>Pentru anul  2015, bugetul raionului la partea de venituri a fost aprobat, rectificat și executat în sumă de, respectiv, 242,5, 291,3 și 273,9 mil.lei, prevederile modificate fiind executate la nivel de 94%, inclusiv veniturile curente – la nivel de 102%. Analiza structurii veniturilor bugetelor locale denotă că sursa de bază pentru formarea acestora rămîn transferurile de la bugetul de stat, a căror pondere constituie sub 80 la sută, sau  218,1 mil.lei. Veniturile curente</w:t>
      </w:r>
      <w:r w:rsidRPr="00F24302">
        <w:rPr>
          <w:rStyle w:val="a7"/>
          <w:rFonts w:ascii="Times New Roman" w:eastAsia="Times New Roman" w:hAnsi="Times New Roman"/>
          <w:sz w:val="24"/>
          <w:szCs w:val="24"/>
          <w:lang w:val="ro-RO"/>
        </w:rPr>
        <w:footnoteReference w:id="3"/>
      </w:r>
      <w:r w:rsidRPr="00F24302">
        <w:rPr>
          <w:rFonts w:ascii="Times New Roman" w:eastAsia="Times New Roman" w:hAnsi="Times New Roman"/>
          <w:sz w:val="24"/>
          <w:szCs w:val="24"/>
          <w:lang w:val="ro-RO"/>
        </w:rPr>
        <w:t xml:space="preserve"> au alcătuit 13,9% din veniturile totale</w:t>
      </w:r>
      <w:r w:rsidRPr="00F24302">
        <w:rPr>
          <w:rFonts w:ascii="Times New Roman" w:eastAsia="Times New Roman" w:hAnsi="Times New Roman"/>
          <w:iCs/>
          <w:sz w:val="24"/>
          <w:szCs w:val="24"/>
          <w:lang w:val="ro-RO"/>
        </w:rPr>
        <w:t>,</w:t>
      </w:r>
      <w:r w:rsidRPr="00F24302">
        <w:rPr>
          <w:rFonts w:ascii="Times New Roman" w:eastAsia="Times New Roman" w:hAnsi="Times New Roman"/>
          <w:sz w:val="24"/>
          <w:szCs w:val="24"/>
          <w:lang w:val="ro-RO"/>
        </w:rPr>
        <w:t xml:space="preserve"> sau 38,3 mil.lei, granturile avînd o pondere de 6,5%, sau 17,5 mil.lei.</w:t>
      </w:r>
    </w:p>
    <w:p w:rsidR="00F24302" w:rsidRPr="00F24302" w:rsidRDefault="00F24302" w:rsidP="00F24302">
      <w:pPr>
        <w:spacing w:after="120" w:line="240" w:lineRule="auto"/>
        <w:ind w:firstLine="567"/>
        <w:jc w:val="both"/>
        <w:rPr>
          <w:rFonts w:ascii="Times New Roman" w:eastAsia="Times New Roman" w:hAnsi="Times New Roman"/>
          <w:sz w:val="24"/>
          <w:szCs w:val="24"/>
          <w:lang w:val="ro-RO"/>
        </w:rPr>
      </w:pPr>
      <w:r w:rsidRPr="00F24302">
        <w:rPr>
          <w:rFonts w:ascii="Times New Roman" w:eastAsia="Times New Roman" w:hAnsi="Times New Roman"/>
          <w:sz w:val="24"/>
          <w:szCs w:val="24"/>
          <w:lang w:val="ro-RO"/>
        </w:rPr>
        <w:t>Analiza prevederii-realizării bugetare denotă că, la 15 categorii de venituri, acumulările au înregistrat 2,5 mil.lei sub nivelul programat (per total), ponderea de bază revenind mijloacelor speciale (0,9 mil.lei) și taxei pentru folosirea drumurilor de către autovehiculele înmatriculate în republică 0,9 mil.lei). În același timp, la 22 categorii de venituri depășirea parametrilor precizați a însumat 1,5 mil.lei. Totodată, auditul a relevat că UAT (de nivelul I și nivelul II) au stabilit partea de venituri aprobată inițial prin diminuarea (cu 0,2 mil.lei) și, respectiv, majorarea (cu 1,5 mil.lei) a indicilor aprobați, cele mai semnificative rectificări fiind înregistrate la veniturile din mijloacele speciale (-1,4 mil.lei). Devierile consemnate indică asupra unui management de evaluare și administrare a veniturilor contrar rigorilor de profil.</w:t>
      </w:r>
    </w:p>
    <w:p w:rsidR="00F24302" w:rsidRPr="00F24302" w:rsidRDefault="00F24302" w:rsidP="00F24302">
      <w:pPr>
        <w:pStyle w:val="a3"/>
        <w:widowControl w:val="0"/>
        <w:numPr>
          <w:ilvl w:val="0"/>
          <w:numId w:val="3"/>
        </w:numPr>
        <w:tabs>
          <w:tab w:val="left" w:pos="0"/>
          <w:tab w:val="left" w:pos="709"/>
          <w:tab w:val="left" w:pos="851"/>
        </w:tabs>
        <w:suppressAutoHyphens/>
        <w:autoSpaceDN w:val="0"/>
        <w:spacing w:after="120"/>
        <w:ind w:left="0" w:firstLine="567"/>
        <w:rPr>
          <w:b/>
          <w:i/>
          <w:szCs w:val="24"/>
          <w:lang w:val="ro-RO" w:eastAsia="zh-CN"/>
        </w:rPr>
      </w:pPr>
      <w:r w:rsidRPr="00F24302">
        <w:rPr>
          <w:b/>
          <w:i/>
          <w:szCs w:val="24"/>
          <w:lang w:val="ro-RO"/>
        </w:rPr>
        <w:t xml:space="preserve">Nu a fost estimat și aprobat corespunzător impozitul pe venitul din salariu. </w:t>
      </w:r>
      <w:r w:rsidRPr="00F24302">
        <w:rPr>
          <w:szCs w:val="24"/>
          <w:lang w:val="ro-RO"/>
        </w:rPr>
        <w:t>Astfel, pentru anul 2015, venitul din sursa dată a fost executat în mărime de 102,7%, fiind aprobate, precizate și executate</w:t>
      </w:r>
      <w:r w:rsidRPr="00F24302">
        <w:rPr>
          <w:b/>
          <w:i/>
          <w:szCs w:val="24"/>
          <w:lang w:val="ro-RO"/>
        </w:rPr>
        <w:t xml:space="preserve"> </w:t>
      </w:r>
      <w:r w:rsidRPr="00F24302">
        <w:rPr>
          <w:szCs w:val="24"/>
          <w:lang w:val="ro-RO"/>
        </w:rPr>
        <w:t xml:space="preserve">în sumă de, respectiv, 12834,2, 12805,6 și 13152,0 mii lei. Potrivit </w:t>
      </w:r>
      <w:r w:rsidRPr="00F24302">
        <w:rPr>
          <w:szCs w:val="24"/>
          <w:lang w:val="ro-RO"/>
        </w:rPr>
        <w:lastRenderedPageBreak/>
        <w:t>prevederilor cadrului legal</w:t>
      </w:r>
      <w:r w:rsidRPr="00F24302">
        <w:rPr>
          <w:szCs w:val="24"/>
          <w:vertAlign w:val="superscript"/>
          <w:lang w:val="ro-RO"/>
        </w:rPr>
        <w:footnoteReference w:id="4"/>
      </w:r>
      <w:r w:rsidRPr="00F24302">
        <w:rPr>
          <w:szCs w:val="24"/>
          <w:lang w:val="ro-RO"/>
        </w:rPr>
        <w:t>, bugetul UAT se elaborează de către autoritatea executivă a acesteia ţinîndu-se cont de prognozele macroeconomice, principiile de bază ale politicii statului în domeniul veniturilor și cheltuielilor bugetare pe anul următor și de unele momente specifice de calculare a transferurilor care se prognozează a fi alocate de la bugetul de stat, reflectate în Notele metodologice</w:t>
      </w:r>
      <w:r w:rsidRPr="00F24302">
        <w:rPr>
          <w:rStyle w:val="a7"/>
          <w:szCs w:val="24"/>
          <w:lang w:val="ro-RO"/>
        </w:rPr>
        <w:footnoteReference w:id="5"/>
      </w:r>
      <w:r w:rsidRPr="00F24302">
        <w:rPr>
          <w:szCs w:val="24"/>
          <w:lang w:val="ro-RO"/>
        </w:rPr>
        <w:t>. Totodată, potrivit Notelor menționate, calculele impozitului pe venitul persoanelor fizice urmau a fi efectuate reieșind din prognoza creșterii salariului mediu nominal lunar și din estimările fondului de remunerare a muncii pe UAT, avînd ca bază datele organelor teritoriale de statistică privind salariul mediu lunar din anul 2013, precum și estimările scontate ale AAPL la acest impozit pentru anul 2014. De menționat că organele statistice, fiscale și economice din raion nu și-au asumat responsabilitățile de rigoare în materie de coparticipare punctuală la exercițiul de evaluare a indicilor fiscal-bugetari, respectiv, nu dispun de datele necesare pentru întocmirea calculelor conform Notei metodologice a MF. Astfel, la planificarea impozitului pe venit din salariu de către UAT din raion nu a fost luată în considerare informația din baza de date pe anul 2013 a organului raional de statistică, deoarece aceasta nu poate fi generată pe o anumită localitate, nu cuprinde venitul din salariu și numărul de salariați ai întreprinderilor mici. Prin urmare, potrivit explicațiilor specialiștilor din cadrul UAT, aceștia au utilizat datele privind numărul mediu scriptic de personal colectate prin telefon de la agenții economici care contribuie semnificativ la formarea/prognozarea bugetului. Totodată, pentru prognozarea impozitului pe venitul din salariu pe anul de referință, DF a luat în calcul datele cu privire la numărul mediu scriptic de 9548 de persoane, deși, conform datelor organului statistic, numărul mediu al salariaților pe anul 2013 a constituit 4864 de persoane. Prin urmare, probele de audit acumulate denotă că 9 UAT nu au asigurat colectarea veniturilor planificate pentru anul curent, în sumă de 434,4 mii lei</w:t>
      </w:r>
      <w:r w:rsidRPr="00F24302">
        <w:rPr>
          <w:rStyle w:val="a7"/>
          <w:szCs w:val="24"/>
          <w:lang w:val="ro-RO"/>
        </w:rPr>
        <w:footnoteReference w:id="6"/>
      </w:r>
      <w:r w:rsidRPr="00F24302">
        <w:rPr>
          <w:szCs w:val="24"/>
          <w:lang w:val="ro-RO"/>
        </w:rPr>
        <w:t>, iar la 18 UAT din raion încasările au depășit sumele aprobate/rectificate cu 780,3 mii lei</w:t>
      </w:r>
      <w:r w:rsidRPr="00F24302">
        <w:rPr>
          <w:rStyle w:val="a7"/>
          <w:szCs w:val="24"/>
          <w:lang w:val="ro-RO"/>
        </w:rPr>
        <w:footnoteReference w:id="7"/>
      </w:r>
      <w:r w:rsidRPr="00F24302">
        <w:rPr>
          <w:szCs w:val="24"/>
          <w:lang w:val="ro-RO"/>
        </w:rPr>
        <w:t>, diferențele fiind condiționate de neestimarea/neaprobarea corectă și pe deplin în buget a veniturilor.</w:t>
      </w:r>
    </w:p>
    <w:p w:rsidR="00F24302" w:rsidRPr="00F24302" w:rsidRDefault="00F24302" w:rsidP="00F24302">
      <w:pPr>
        <w:pStyle w:val="a3"/>
        <w:numPr>
          <w:ilvl w:val="0"/>
          <w:numId w:val="2"/>
        </w:numPr>
        <w:tabs>
          <w:tab w:val="left" w:pos="0"/>
          <w:tab w:val="left" w:pos="207"/>
          <w:tab w:val="left" w:pos="426"/>
          <w:tab w:val="left" w:pos="709"/>
          <w:tab w:val="left" w:pos="851"/>
        </w:tabs>
        <w:autoSpaceDN w:val="0"/>
        <w:ind w:left="0" w:firstLine="567"/>
        <w:contextualSpacing/>
        <w:rPr>
          <w:rFonts w:eastAsia="Nimbus Sans L"/>
          <w:b/>
          <w:color w:val="00000A"/>
          <w:kern w:val="3"/>
          <w:szCs w:val="24"/>
          <w:lang w:val="ro-RO" w:eastAsia="zh-CN" w:bidi="hi-IN"/>
        </w:rPr>
      </w:pPr>
      <w:r w:rsidRPr="00F24302">
        <w:rPr>
          <w:rFonts w:eastAsia="Nimbus Sans L"/>
          <w:b/>
          <w:i/>
          <w:iCs/>
          <w:color w:val="00000A"/>
          <w:kern w:val="3"/>
          <w:szCs w:val="24"/>
          <w:lang w:val="ro-RO" w:eastAsia="zh-CN" w:bidi="hi-IN"/>
        </w:rPr>
        <w:t>AAPL și serviciul fiscal din raion nu au manifestat determinarea și preocuparea necesare pentru implementarea unor acțiuni prompte privind estimarea, calcularea și colectarea deplină la buget a impozitelor pe proprietate. Totodat</w:t>
      </w:r>
      <w:r w:rsidRPr="00F24302">
        <w:rPr>
          <w:rFonts w:eastAsia="Nimbus Sans L"/>
          <w:b/>
          <w:i/>
          <w:color w:val="00000A"/>
          <w:kern w:val="3"/>
          <w:szCs w:val="24"/>
          <w:lang w:val="ro-RO" w:eastAsia="zh-CN" w:bidi="hi-IN"/>
        </w:rPr>
        <w:t>ă</w:t>
      </w:r>
      <w:r w:rsidRPr="00F24302">
        <w:rPr>
          <w:rFonts w:eastAsia="Nimbus Sans L"/>
          <w:b/>
          <w:color w:val="00000A"/>
          <w:kern w:val="3"/>
          <w:szCs w:val="24"/>
          <w:lang w:val="ro-RO" w:eastAsia="zh-CN" w:bidi="hi-IN"/>
        </w:rPr>
        <w:t xml:space="preserve">, </w:t>
      </w:r>
      <w:r w:rsidRPr="00F24302">
        <w:rPr>
          <w:rFonts w:eastAsia="Nimbus Sans L"/>
          <w:b/>
          <w:i/>
          <w:color w:val="00000A"/>
          <w:kern w:val="3"/>
          <w:szCs w:val="24"/>
          <w:lang w:val="ro-RO" w:eastAsia="zh-CN" w:bidi="hi-IN"/>
        </w:rPr>
        <w:t>nerespectarea cadrului legal-normativ</w:t>
      </w:r>
      <w:r w:rsidRPr="00F24302">
        <w:rPr>
          <w:rFonts w:eastAsia="Nimbus Sans L"/>
          <w:b/>
          <w:i/>
          <w:iCs/>
          <w:color w:val="00000A"/>
          <w:kern w:val="3"/>
          <w:szCs w:val="24"/>
          <w:lang w:val="ro-RO" w:eastAsia="zh-CN" w:bidi="hi-IN"/>
        </w:rPr>
        <w:t>, monitorizarea ineficientă a procesului de evaluare și colectare a veniturilor, precum și lipsa unor proceduri ale controlului intern au determinat nerealizarea conformă a veniturilor din impozitele menționate.</w:t>
      </w:r>
    </w:p>
    <w:p w:rsidR="00F24302" w:rsidRPr="00F24302" w:rsidRDefault="00F24302" w:rsidP="00F24302">
      <w:pPr>
        <w:pStyle w:val="a3"/>
        <w:widowControl w:val="0"/>
        <w:tabs>
          <w:tab w:val="left" w:pos="0"/>
        </w:tabs>
        <w:suppressAutoHyphens/>
        <w:rPr>
          <w:rFonts w:eastAsia="Nimbus Sans L"/>
          <w:color w:val="00000A"/>
          <w:kern w:val="3"/>
          <w:szCs w:val="24"/>
          <w:lang w:val="ro-RO" w:eastAsia="zh-CN" w:bidi="hi-IN"/>
        </w:rPr>
      </w:pPr>
      <w:r w:rsidRPr="00F24302">
        <w:rPr>
          <w:rFonts w:eastAsia="Nimbus Sans L"/>
          <w:color w:val="00000A"/>
          <w:kern w:val="3"/>
          <w:szCs w:val="24"/>
          <w:lang w:val="ro-RO" w:eastAsia="zh-CN" w:bidi="hi-IN"/>
        </w:rPr>
        <w:t xml:space="preserve">În anul 2015, aceste impozite au fost aprobate în sumă totală de 7345,4 mii lei, precizate – în sumă de 7246,9 mii lei, fiind încasate în sumă de 6919,7 mii lei (sau la nivel de 95,5% față de cele precizate). </w:t>
      </w:r>
    </w:p>
    <w:p w:rsidR="00F24302" w:rsidRPr="00F24302" w:rsidRDefault="00F24302" w:rsidP="00F24302">
      <w:pPr>
        <w:spacing w:after="120" w:line="240" w:lineRule="auto"/>
        <w:ind w:firstLine="567"/>
        <w:jc w:val="both"/>
        <w:rPr>
          <w:rFonts w:ascii="Times New Roman" w:eastAsia="Times New Roman" w:hAnsi="Times New Roman"/>
          <w:sz w:val="24"/>
          <w:szCs w:val="24"/>
          <w:lang w:val="ro-RO"/>
        </w:rPr>
      </w:pPr>
      <w:r w:rsidRPr="00F24302">
        <w:rPr>
          <w:rFonts w:ascii="Times New Roman" w:eastAsia="Times New Roman" w:hAnsi="Times New Roman"/>
          <w:sz w:val="24"/>
          <w:szCs w:val="24"/>
          <w:lang w:val="ro-RO"/>
        </w:rPr>
        <w:t>Impozitul funciar și impozitul pe bunurile imobile sînt impozite relativ stabile, ale căror mărimi depind de plenitudinea informațiilor privind obiectele și subiectele impunerii. Potrivit Notelor metodologice, la estimarea încasărilor aferente impozitului funciar și impozitului pe bunurile imobiliare, precum și la efectuarea calculelor pe tipurile de impozite, AAPL urmau să țină cont de: prevederile cadrului regulator, datele evidenței fiscale, datele cadastrului funciar pe UAT respective și cele ale SCITL din cadrul primăriilor. Însă, nerespectarea cadrului legal-normativ în vigoare și lipsa monitorizării și controlului corespunzător asupra procesului ca atare au generat deficiențe care se caracterizează prin următoarele:</w:t>
      </w:r>
    </w:p>
    <w:p w:rsidR="00F24302" w:rsidRPr="00F24302" w:rsidRDefault="00F24302" w:rsidP="00F24302">
      <w:pPr>
        <w:pStyle w:val="a9"/>
        <w:numPr>
          <w:ilvl w:val="0"/>
          <w:numId w:val="6"/>
        </w:numPr>
        <w:shd w:val="clear" w:color="auto" w:fill="FFFFFF"/>
        <w:spacing w:after="120"/>
        <w:ind w:left="0" w:firstLine="426"/>
        <w:jc w:val="both"/>
        <w:rPr>
          <w:lang w:val="ro-RO"/>
        </w:rPr>
      </w:pPr>
      <w:r w:rsidRPr="00F24302">
        <w:rPr>
          <w:lang w:val="ro-RO"/>
        </w:rPr>
        <w:t xml:space="preserve">odată cu impozitarea terenurilor din intravilanul localității reieșind din valoarea estimată, se atestă micșorarea impozitului respectiv. Această situație nu poate fi influențată de către AAPL pentru bunurile imobiliare altele decît cele agricole, deoarece mărimea cotei impozitului este fixă și constituie 0,1% din valoarea estimată, totodată nefiind ajustată cota impozitului pe bunurile imobiliare pentru terenurile agricole pe care sînt amplasate construcții și care poate fi aprobată </w:t>
      </w:r>
      <w:r w:rsidRPr="00F24302">
        <w:rPr>
          <w:lang w:val="ro-RO"/>
        </w:rPr>
        <w:lastRenderedPageBreak/>
        <w:t>pînă la 0,3% din valoarea estimată.</w:t>
      </w:r>
      <w:r w:rsidRPr="00F24302">
        <w:rPr>
          <w:i/>
          <w:lang w:val="ro-RO"/>
        </w:rPr>
        <w:t xml:space="preserve"> </w:t>
      </w:r>
      <w:r w:rsidRPr="00F24302">
        <w:rPr>
          <w:lang w:val="ro-RO"/>
        </w:rPr>
        <w:t>Analizînd în dinamică impozitul pe proprietate, s-a constatat că în anul 2014 acesta a fost executat în sumă de 7,2 mil.lei, iar în 2015 – în sumă de 6,9 mil.lei, cu o descreștere de 0,3 mil.lei. Cea mai mare descreștere a fost înregistrată la impozitul funciar pe terenurile cu destinație agricolă (114.01) – de 147,2 mii lei, una din cauze fiind evaluarea terenurilor și calcularea impozitului nu din suprafața acestora, dar din valoarea lor estimată. În urma testelor de audit efectuate, s-a stabilit că impozitul pe bunurile imobiliare calculat pentru terenurile atît din intravilanul, cît din extravilanul localității este mult mai mic ca impozitul funciar calculat din suprafața acelorași terenuri calculată pînă la evaluarea bunurilor imobiliare. Astfel, pentru 8 terenuri (52,7 ha, cu valoarea estimată în sumă de 4,3 mil.lei) impozitul pe bunurile imobiliare a constituit 4,3 mii lei, iar în cazul în care terenurile ar fi fost impuse cu impozit funciar, veniturile bugetare din sursa în cauză urmau să constituie 40,9 mii lei, sau de 9,5 ori mai mari. De menționat că, în conformitate cu prevederile art.280 din Codul fiscal</w:t>
      </w:r>
      <w:r w:rsidRPr="00F24302">
        <w:rPr>
          <w:rStyle w:val="a7"/>
          <w:lang w:val="ro-RO"/>
        </w:rPr>
        <w:footnoteReference w:id="8"/>
      </w:r>
      <w:r w:rsidRPr="00F24302">
        <w:rPr>
          <w:lang w:val="ro-RO"/>
        </w:rPr>
        <w:t>, mărimea cotei impozitului pentru bunurile imobiliare cu altă destinație decît cea locativă sau agricolă este fixă și constituie 0,1%. Totodată,</w:t>
      </w:r>
      <w:r w:rsidRPr="00F24302">
        <w:rPr>
          <w:i/>
          <w:lang w:val="ro-RO"/>
        </w:rPr>
        <w:t xml:space="preserve"> </w:t>
      </w:r>
      <w:r w:rsidRPr="00F24302">
        <w:rPr>
          <w:lang w:val="ro-RO"/>
        </w:rPr>
        <w:t>cota impozitului pe bunurile imobiliare pentru terenurile agricole pe care sînt amplasate construcții poate fi aprobată de la 0,1% pînă la 0,3% din valoarea estimată, fiind aprobată de consiliile locale în mărime de 0,1%;</w:t>
      </w:r>
    </w:p>
    <w:p w:rsidR="00F24302" w:rsidRPr="00F24302" w:rsidRDefault="00F24302" w:rsidP="00F24302">
      <w:pPr>
        <w:pStyle w:val="a9"/>
        <w:numPr>
          <w:ilvl w:val="0"/>
          <w:numId w:val="5"/>
        </w:numPr>
        <w:ind w:left="0" w:firstLine="426"/>
        <w:jc w:val="both"/>
        <w:rPr>
          <w:i/>
          <w:lang w:val="ro-RO"/>
        </w:rPr>
      </w:pPr>
      <w:r w:rsidRPr="00F24302">
        <w:rPr>
          <w:rFonts w:eastAsia="Nimbus Sans L"/>
          <w:color w:val="00000A"/>
          <w:kern w:val="3"/>
          <w:lang w:val="ro-RO" w:eastAsia="zh-CN" w:bidi="hi-IN"/>
        </w:rPr>
        <w:t>urmare a procedurilor de audit s-a constat că, la estimarea impozitului funciar pentru terenurile agricole, 3 primării</w:t>
      </w:r>
      <w:r w:rsidRPr="00F24302">
        <w:rPr>
          <w:rStyle w:val="a7"/>
          <w:rFonts w:eastAsia="Nimbus Sans L"/>
          <w:color w:val="00000A"/>
          <w:kern w:val="3"/>
          <w:lang w:val="ro-RO" w:eastAsia="zh-CN" w:bidi="hi-IN"/>
        </w:rPr>
        <w:footnoteReference w:id="9"/>
      </w:r>
      <w:r w:rsidRPr="00F24302">
        <w:rPr>
          <w:rFonts w:eastAsia="Nimbus Sans L"/>
          <w:color w:val="00000A"/>
          <w:kern w:val="3"/>
          <w:lang w:val="ro-RO" w:eastAsia="zh-CN" w:bidi="hi-IN"/>
        </w:rPr>
        <w:t xml:space="preserve"> nu au luat în considerare terenurile date în arendă cu suprafața de 294,5 ha, cu suma impozitului funciar în mărime de 32,4 mii lei</w:t>
      </w:r>
      <w:r w:rsidRPr="00F24302">
        <w:rPr>
          <w:rStyle w:val="a7"/>
          <w:rFonts w:eastAsia="Nimbus Sans L"/>
          <w:color w:val="00000A"/>
          <w:kern w:val="3"/>
          <w:lang w:val="ro-RO" w:eastAsia="zh-CN" w:bidi="hi-IN"/>
        </w:rPr>
        <w:footnoteReference w:id="10"/>
      </w:r>
      <w:r w:rsidRPr="00F24302">
        <w:rPr>
          <w:rFonts w:eastAsia="Nimbus Sans L"/>
          <w:color w:val="00000A"/>
          <w:kern w:val="3"/>
          <w:lang w:val="ro-RO" w:eastAsia="zh-CN" w:bidi="hi-IN"/>
        </w:rPr>
        <w:t>.</w:t>
      </w:r>
    </w:p>
    <w:p w:rsidR="00F24302" w:rsidRPr="00F24302" w:rsidRDefault="00F24302" w:rsidP="00F24302">
      <w:pPr>
        <w:spacing w:after="120" w:line="240" w:lineRule="auto"/>
        <w:ind w:firstLine="567"/>
        <w:jc w:val="both"/>
        <w:rPr>
          <w:rFonts w:ascii="Times New Roman" w:hAnsi="Times New Roman"/>
          <w:sz w:val="24"/>
          <w:szCs w:val="24"/>
          <w:lang w:val="ro-RO"/>
        </w:rPr>
      </w:pPr>
      <w:r w:rsidRPr="00F24302">
        <w:rPr>
          <w:rFonts w:ascii="Times New Roman" w:eastAsia="Times New Roman" w:hAnsi="Times New Roman"/>
          <w:sz w:val="24"/>
          <w:szCs w:val="24"/>
          <w:lang w:val="ro-RO"/>
        </w:rPr>
        <w:t>Totodată, se atestă că IFS Sîngerei nu poate generaliza informația privind baza impozabilă a impozitului funciar pe trenurile agricole calculată pentru terenurile din raion (suprafața terenurilor agricole, calculul impozitului funciar, înlesnirile și reducerile), ceea ce face imposibilă verificarea plenitudinii calculării impozitului funciar total pe raion. Mai mult decît atît, nici APL nu asigură plenitudinea calculării impozitelor funciare pe terenurile agricole. Astfel, ca rezultat al contrapunerii</w:t>
      </w:r>
      <w:r w:rsidRPr="00F24302">
        <w:rPr>
          <w:rFonts w:ascii="Times New Roman" w:eastAsia="Nimbus Sans L" w:hAnsi="Times New Roman"/>
          <w:color w:val="00000A"/>
          <w:kern w:val="3"/>
          <w:sz w:val="24"/>
          <w:szCs w:val="24"/>
          <w:lang w:val="ro-RO" w:eastAsia="zh-CN" w:bidi="hi-IN"/>
        </w:rPr>
        <w:t xml:space="preserve"> impozitului funciar pentru terenurile agricole la cap.114.01 și cap.114.07, calculat de către perceptorii fiscali și agenții economici, cu cel prognozat din 7 UAT de nivelul I</w:t>
      </w:r>
      <w:r w:rsidRPr="00F24302">
        <w:rPr>
          <w:rStyle w:val="a7"/>
          <w:rFonts w:ascii="Times New Roman" w:eastAsia="Nimbus Sans L" w:hAnsi="Times New Roman"/>
          <w:color w:val="00000A"/>
          <w:kern w:val="3"/>
          <w:sz w:val="24"/>
          <w:szCs w:val="24"/>
          <w:lang w:val="ro-RO" w:eastAsia="zh-CN" w:bidi="hi-IN"/>
        </w:rPr>
        <w:footnoteReference w:id="11"/>
      </w:r>
      <w:r w:rsidRPr="00F24302">
        <w:rPr>
          <w:rFonts w:ascii="Times New Roman" w:eastAsia="Nimbus Sans L" w:hAnsi="Times New Roman"/>
          <w:color w:val="00000A"/>
          <w:kern w:val="3"/>
          <w:sz w:val="24"/>
          <w:szCs w:val="24"/>
          <w:lang w:val="ro-RO" w:eastAsia="zh-CN" w:bidi="hi-IN"/>
        </w:rPr>
        <w:t xml:space="preserve"> au fost constatate divergențe, la 6 UAT fiind diminuat impozitul funciar pentru terenurile agricole în ansamblu (în 2015) cu 210,9 mii lei</w:t>
      </w:r>
      <w:r w:rsidRPr="00F24302">
        <w:rPr>
          <w:rStyle w:val="a7"/>
          <w:rFonts w:ascii="Times New Roman" w:eastAsia="Nimbus Sans L" w:hAnsi="Times New Roman"/>
          <w:color w:val="00000A"/>
          <w:kern w:val="3"/>
          <w:sz w:val="24"/>
          <w:szCs w:val="24"/>
          <w:lang w:val="ro-RO" w:eastAsia="zh-CN" w:bidi="hi-IN"/>
        </w:rPr>
        <w:footnoteReference w:id="12"/>
      </w:r>
      <w:r w:rsidRPr="00F24302">
        <w:rPr>
          <w:rFonts w:ascii="Times New Roman" w:eastAsia="Nimbus Sans L" w:hAnsi="Times New Roman"/>
          <w:color w:val="00000A"/>
          <w:kern w:val="3"/>
          <w:sz w:val="24"/>
          <w:szCs w:val="24"/>
          <w:lang w:val="ro-RO" w:eastAsia="zh-CN" w:bidi="hi-IN"/>
        </w:rPr>
        <w:t>. Această situație se repetă în fiecare an bugetar, deoarece AAPL nu au respectat</w:t>
      </w:r>
      <w:r w:rsidRPr="00F24302">
        <w:rPr>
          <w:rFonts w:ascii="Times New Roman" w:hAnsi="Times New Roman"/>
          <w:sz w:val="24"/>
          <w:szCs w:val="24"/>
          <w:lang w:val="ro-RO"/>
        </w:rPr>
        <w:t xml:space="preserve"> prescripțiile pct.1 din Cerințele aprobate prin Ordinul ministrului Finanțelor nr.174 din 19.12.2014</w:t>
      </w:r>
      <w:r w:rsidRPr="00F24302">
        <w:rPr>
          <w:rStyle w:val="a7"/>
          <w:rFonts w:ascii="Times New Roman" w:hAnsi="Times New Roman"/>
          <w:sz w:val="24"/>
          <w:szCs w:val="24"/>
          <w:lang w:val="ro-RO"/>
        </w:rPr>
        <w:footnoteReference w:id="13"/>
      </w:r>
      <w:r w:rsidRPr="00F24302">
        <w:rPr>
          <w:rFonts w:ascii="Times New Roman" w:hAnsi="Times New Roman"/>
          <w:sz w:val="24"/>
          <w:szCs w:val="24"/>
          <w:lang w:val="ro-RO"/>
        </w:rPr>
        <w:t>,</w:t>
      </w:r>
      <w:r w:rsidRPr="00F24302">
        <w:rPr>
          <w:rFonts w:ascii="Times New Roman" w:hAnsi="Times New Roman"/>
          <w:bCs/>
          <w:iCs/>
          <w:sz w:val="24"/>
          <w:szCs w:val="24"/>
          <w:lang w:val="ro-RO"/>
        </w:rPr>
        <w:t xml:space="preserve"> potrivit cărora partea de venituri se descrie la total pe toate componentele, componenta de bază </w:t>
      </w:r>
      <w:r w:rsidRPr="00F24302">
        <w:rPr>
          <w:rFonts w:ascii="Times New Roman" w:hAnsi="Times New Roman"/>
          <w:sz w:val="24"/>
          <w:szCs w:val="24"/>
          <w:lang w:val="ro-RO"/>
        </w:rPr>
        <w:t xml:space="preserve">cu indicarea: (i) modificărilor indicatorilor aprobați inițial și cauzelor modificării acestora; (ii) nivelului executării planului precizat și cauzelor neexecutării integrale, precum și nivelului executării față de perioada respectivă a anului precedent. </w:t>
      </w:r>
    </w:p>
    <w:p w:rsidR="00F24302" w:rsidRPr="00F24302" w:rsidRDefault="00F24302" w:rsidP="00F24302">
      <w:pPr>
        <w:spacing w:after="120" w:line="240" w:lineRule="auto"/>
        <w:ind w:firstLine="567"/>
        <w:jc w:val="both"/>
        <w:rPr>
          <w:rFonts w:ascii="Times New Roman" w:eastAsia="Nimbus Sans L" w:hAnsi="Times New Roman"/>
          <w:bCs/>
          <w:iCs/>
          <w:color w:val="00000A"/>
          <w:kern w:val="3"/>
          <w:sz w:val="24"/>
          <w:szCs w:val="24"/>
          <w:lang w:val="ro-RO" w:eastAsia="zh-CN" w:bidi="hi-IN"/>
        </w:rPr>
      </w:pPr>
      <w:r w:rsidRPr="00F24302">
        <w:rPr>
          <w:rFonts w:ascii="Times New Roman" w:hAnsi="Times New Roman"/>
          <w:sz w:val="24"/>
          <w:szCs w:val="24"/>
          <w:lang w:val="ro-RO"/>
        </w:rPr>
        <w:t xml:space="preserve">La întocmirea dărilor de seamă (2015), AAPL nu au respectat cerințele nominalizate, fiind menționate numai veniturile aprobate, precizate și executate, fără a stabili cauzele modificărilor și neexecutării integrale, precum și nivelul executării față de perioada respectivă a anului precedent. Deși în unele cazuri au fost descrise cauzele, acestea nu sînt relevante, avînd un impact negativ asupra prognozării impozitelor pentru anii următori. Mai mult decît atît, </w:t>
      </w:r>
      <w:r w:rsidRPr="00F24302">
        <w:rPr>
          <w:rFonts w:ascii="Times New Roman" w:eastAsia="Nimbus Sans L" w:hAnsi="Times New Roman"/>
          <w:color w:val="00000A"/>
          <w:kern w:val="3"/>
          <w:sz w:val="24"/>
          <w:szCs w:val="24"/>
          <w:lang w:val="ro-RO" w:eastAsia="zh-CN" w:bidi="hi-IN"/>
        </w:rPr>
        <w:t>n</w:t>
      </w:r>
      <w:r w:rsidRPr="00F24302">
        <w:rPr>
          <w:rFonts w:ascii="Times New Roman" w:eastAsia="Nimbus Sans L" w:hAnsi="Times New Roman"/>
          <w:bCs/>
          <w:iCs/>
          <w:color w:val="00000A"/>
          <w:kern w:val="3"/>
          <w:sz w:val="24"/>
          <w:szCs w:val="24"/>
          <w:lang w:val="ro-RO" w:eastAsia="zh-CN" w:bidi="hi-IN"/>
        </w:rPr>
        <w:t>erealizarea conformă a veniturilor din impozitul menționat a fost determinată și de</w:t>
      </w:r>
      <w:r w:rsidRPr="00F24302">
        <w:rPr>
          <w:rFonts w:ascii="Times New Roman" w:eastAsia="Nimbus Sans L" w:hAnsi="Times New Roman"/>
          <w:color w:val="00000A"/>
          <w:kern w:val="3"/>
          <w:sz w:val="24"/>
          <w:szCs w:val="24"/>
          <w:lang w:val="ro-RO" w:eastAsia="zh-CN" w:bidi="hi-IN"/>
        </w:rPr>
        <w:t xml:space="preserve"> menținerea unui sistem insuficient de management financiar și control în entitățile publice, în conformitate cu prevederile </w:t>
      </w:r>
      <w:r w:rsidRPr="00F24302">
        <w:rPr>
          <w:rFonts w:ascii="Times New Roman" w:eastAsia="Nimbus Sans L" w:hAnsi="Times New Roman"/>
          <w:color w:val="00000A"/>
          <w:kern w:val="3"/>
          <w:sz w:val="24"/>
          <w:szCs w:val="24"/>
          <w:lang w:val="ro-RO" w:eastAsia="zh-CN" w:bidi="hi-IN"/>
        </w:rPr>
        <w:lastRenderedPageBreak/>
        <w:t>regulamentare</w:t>
      </w:r>
      <w:r w:rsidRPr="00F24302">
        <w:rPr>
          <w:rStyle w:val="a7"/>
          <w:rFonts w:ascii="Times New Roman" w:eastAsia="Nimbus Sans L" w:hAnsi="Times New Roman"/>
          <w:color w:val="00000A"/>
          <w:kern w:val="3"/>
          <w:sz w:val="24"/>
          <w:szCs w:val="24"/>
          <w:lang w:val="ro-RO" w:eastAsia="zh-CN" w:bidi="hi-IN"/>
        </w:rPr>
        <w:footnoteReference w:id="14"/>
      </w:r>
      <w:r w:rsidRPr="00F24302">
        <w:rPr>
          <w:rFonts w:ascii="Times New Roman" w:eastAsia="Nimbus Sans L" w:hAnsi="Times New Roman"/>
          <w:color w:val="00000A"/>
          <w:kern w:val="3"/>
          <w:sz w:val="24"/>
          <w:szCs w:val="24"/>
          <w:lang w:val="ro-RO" w:eastAsia="zh-CN" w:bidi="hi-IN"/>
        </w:rPr>
        <w:t>, exprimat prin neelaborarea și neimplementarea unor proceduri ale controlului intern la componenta dată,</w:t>
      </w:r>
      <w:r w:rsidRPr="00F24302">
        <w:rPr>
          <w:rFonts w:ascii="Times New Roman" w:eastAsia="Nimbus Sans L" w:hAnsi="Times New Roman"/>
          <w:bCs/>
          <w:iCs/>
          <w:color w:val="00000A"/>
          <w:kern w:val="3"/>
          <w:sz w:val="24"/>
          <w:szCs w:val="24"/>
          <w:lang w:val="ro-RO" w:eastAsia="zh-CN" w:bidi="hi-IN"/>
        </w:rPr>
        <w:t xml:space="preserve"> lipsa unei conlucrări între AAPL și IFS Sîngerei;</w:t>
      </w:r>
    </w:p>
    <w:p w:rsidR="00F24302" w:rsidRPr="00F24302" w:rsidRDefault="00F24302" w:rsidP="00F24302">
      <w:pPr>
        <w:pStyle w:val="a9"/>
        <w:numPr>
          <w:ilvl w:val="0"/>
          <w:numId w:val="25"/>
        </w:numPr>
        <w:tabs>
          <w:tab w:val="left" w:pos="0"/>
        </w:tabs>
        <w:ind w:left="0" w:firstLine="426"/>
        <w:jc w:val="both"/>
        <w:rPr>
          <w:i/>
          <w:lang w:val="en-US"/>
        </w:rPr>
      </w:pPr>
      <w:r w:rsidRPr="00F24302">
        <w:rPr>
          <w:i/>
          <w:lang w:val="en-US"/>
        </w:rPr>
        <w:t>AAPL nu au monitorizat activitățile desfășurate de agenții economici în teritoriul administrat, ceea ce condiționează neîncasarea unor venituri la bugetele locale urmare a gestionării neconforme a patrimoniului public.</w:t>
      </w:r>
    </w:p>
    <w:p w:rsidR="00F24302" w:rsidRPr="00F24302" w:rsidRDefault="00F24302" w:rsidP="00F24302">
      <w:pPr>
        <w:spacing w:after="0" w:line="240" w:lineRule="auto"/>
        <w:ind w:firstLine="426"/>
        <w:jc w:val="both"/>
        <w:rPr>
          <w:rFonts w:ascii="Times New Roman" w:hAnsi="Times New Roman"/>
          <w:sz w:val="24"/>
          <w:szCs w:val="24"/>
          <w:lang w:val="ro-RO"/>
        </w:rPr>
      </w:pPr>
      <w:r w:rsidRPr="00F24302">
        <w:rPr>
          <w:rFonts w:ascii="Times New Roman" w:hAnsi="Times New Roman"/>
          <w:sz w:val="24"/>
          <w:szCs w:val="24"/>
          <w:lang w:val="ro-RO"/>
        </w:rPr>
        <w:t>Cadrul neconform de monitorizare a potențialului economic și de evaluare neautentică a bazei impozabile nu a permis autorităților locale și de resort să identifice/acumuleze veniturile cuvenite la buget și a plăților respective din folosința proprietății publice</w:t>
      </w:r>
      <w:r w:rsidRPr="00F24302">
        <w:rPr>
          <w:rFonts w:ascii="Times New Roman" w:hAnsi="Times New Roman"/>
          <w:i/>
          <w:sz w:val="24"/>
          <w:szCs w:val="24"/>
          <w:lang w:val="ro-RO"/>
        </w:rPr>
        <w:t>.</w:t>
      </w:r>
      <w:r w:rsidRPr="00F24302">
        <w:rPr>
          <w:rFonts w:ascii="Times New Roman" w:hAnsi="Times New Roman"/>
          <w:sz w:val="24"/>
          <w:szCs w:val="24"/>
          <w:lang w:val="ro-RO"/>
        </w:rPr>
        <w:t xml:space="preserve"> Probele de audit  relevă că </w:t>
      </w:r>
      <w:r w:rsidRPr="00F24302">
        <w:rPr>
          <w:rFonts w:ascii="Times New Roman" w:hAnsi="Times New Roman"/>
          <w:sz w:val="24"/>
          <w:szCs w:val="24"/>
          <w:lang w:val="en-US"/>
        </w:rPr>
        <w:t>AAPL din Țambula și Bilicenii Noi, de comun cu autoritățile de resort, nu și-au exercitat dreptul de a evalua modul de administrare și exploatare a teritoriului gunoiștii (circa 25 ha), care este gestionat (inclusiv cu desfășurarea activităților de selectare și balotare a deșeurilor reciclabile) de un agent economic din octombrie 2012 pînă la moment fără să dispună de înregistrarea conformă a subdiviziunii la IFS Sîngerei, fără prezentarea dărilor de seamă, fără achitarea în bugetul local a unor impozite/taxe din activitate, estimate (pentru perioada nominalizată) la 36,2 mii lei</w:t>
      </w:r>
      <w:r w:rsidRPr="00F24302">
        <w:rPr>
          <w:rStyle w:val="a7"/>
          <w:rFonts w:ascii="Times New Roman" w:hAnsi="Times New Roman"/>
          <w:sz w:val="24"/>
          <w:szCs w:val="24"/>
        </w:rPr>
        <w:footnoteReference w:id="15"/>
      </w:r>
      <w:r w:rsidRPr="00F24302">
        <w:rPr>
          <w:rFonts w:ascii="Times New Roman" w:hAnsi="Times New Roman"/>
          <w:sz w:val="24"/>
          <w:szCs w:val="24"/>
          <w:lang w:val="en-US"/>
        </w:rPr>
        <w:t xml:space="preserve">. </w:t>
      </w:r>
      <w:r w:rsidRPr="00F24302">
        <w:rPr>
          <w:rFonts w:ascii="Times New Roman" w:hAnsi="Times New Roman"/>
          <w:sz w:val="24"/>
          <w:szCs w:val="24"/>
          <w:lang w:val="ro-RO"/>
        </w:rPr>
        <w:t xml:space="preserve">Totodată, s-a identificat necalcularea și neachitarea impozitului funciar (2015) aferent terenurilor (25,16 ha) proprietate publică a UAT Heciul Nou de 8,8 mii lei. </w:t>
      </w:r>
      <w:r w:rsidRPr="00F24302">
        <w:rPr>
          <w:rFonts w:ascii="Times New Roman" w:hAnsi="Times New Roman"/>
          <w:sz w:val="24"/>
          <w:szCs w:val="24"/>
          <w:lang w:val="en-US"/>
        </w:rPr>
        <w:t xml:space="preserve"> </w:t>
      </w:r>
    </w:p>
    <w:p w:rsidR="00F24302" w:rsidRPr="00F24302" w:rsidRDefault="00F24302" w:rsidP="00F24302">
      <w:pPr>
        <w:spacing w:after="0" w:line="240" w:lineRule="auto"/>
        <w:ind w:firstLine="567"/>
        <w:jc w:val="both"/>
        <w:rPr>
          <w:rFonts w:ascii="Times New Roman" w:hAnsi="Times New Roman"/>
          <w:sz w:val="24"/>
          <w:szCs w:val="24"/>
          <w:lang w:val="en-US"/>
        </w:rPr>
      </w:pPr>
      <w:r w:rsidRPr="00F24302">
        <w:rPr>
          <w:rFonts w:ascii="Times New Roman" w:hAnsi="Times New Roman"/>
          <w:sz w:val="24"/>
          <w:szCs w:val="24"/>
          <w:lang w:val="en-US"/>
        </w:rPr>
        <w:t>Situațiile menționate denotă un grad redus al responsabilității decidenților și responsabililor din cadrul AAPL și IFS în materie de administrare eficientă a patrimoniului gestionat, în scopul acumulării veniturilor respective, precum și neadmiterii activității ilicite în activitatea de antreprenoriat;</w:t>
      </w:r>
    </w:p>
    <w:p w:rsidR="00F24302" w:rsidRPr="00F24302" w:rsidRDefault="00F24302" w:rsidP="00F24302">
      <w:pPr>
        <w:pStyle w:val="a9"/>
        <w:numPr>
          <w:ilvl w:val="0"/>
          <w:numId w:val="5"/>
        </w:numPr>
        <w:spacing w:after="120"/>
        <w:ind w:left="0" w:firstLine="426"/>
        <w:jc w:val="both"/>
        <w:rPr>
          <w:i/>
          <w:lang w:val="ro-RO"/>
        </w:rPr>
      </w:pPr>
      <w:r w:rsidRPr="00F24302">
        <w:rPr>
          <w:i/>
          <w:lang w:val="ro-RO"/>
        </w:rPr>
        <w:t>au fost identificate rezerve nevalorificate vizavi de impozitul pe bunurile imobiliare achitat de persoanele fizice</w:t>
      </w:r>
      <w:r w:rsidRPr="00F24302">
        <w:rPr>
          <w:lang w:val="ro-RO"/>
        </w:rPr>
        <w:t>. Astfel, deși consiliile locale aprobă în fiecare an cota impozitului pe bunurile imobiliare în mărime de 0,1%</w:t>
      </w:r>
      <w:r w:rsidRPr="00F24302">
        <w:rPr>
          <w:b/>
          <w:i/>
          <w:lang w:val="ro-RO"/>
        </w:rPr>
        <w:t xml:space="preserve"> </w:t>
      </w:r>
      <w:r w:rsidRPr="00F24302">
        <w:rPr>
          <w:lang w:val="ro-RO"/>
        </w:rPr>
        <w:t>din valoarea de bilanț a clădirilor, construcțiilor și caselor de locuit, în cazurile în care suprafața totală a caselor de locuit și a construcțiilor principale înregistrate cu drept de proprietate depășește 100 m</w:t>
      </w:r>
      <w:r w:rsidRPr="00F24302">
        <w:rPr>
          <w:vertAlign w:val="superscript"/>
          <w:lang w:val="ro-RO"/>
        </w:rPr>
        <w:t>2</w:t>
      </w:r>
      <w:r w:rsidRPr="00F24302">
        <w:rPr>
          <w:lang w:val="ro-RO"/>
        </w:rPr>
        <w:t>, cota impozitului se majorează în funcție de suprafața totală (după cum urmează: de la 100 la 150 m</w:t>
      </w:r>
      <w:r w:rsidRPr="00F24302">
        <w:rPr>
          <w:vertAlign w:val="superscript"/>
          <w:lang w:val="ro-RO"/>
        </w:rPr>
        <w:t>2</w:t>
      </w:r>
      <w:r w:rsidRPr="00F24302">
        <w:rPr>
          <w:lang w:val="ro-RO"/>
        </w:rPr>
        <w:t xml:space="preserve"> – de 1,5 ori; de la 150 la 200 m</w:t>
      </w:r>
      <w:r w:rsidRPr="00F24302">
        <w:rPr>
          <w:vertAlign w:val="superscript"/>
          <w:lang w:val="ro-RO"/>
        </w:rPr>
        <w:t>2</w:t>
      </w:r>
      <w:r w:rsidRPr="00F24302">
        <w:rPr>
          <w:lang w:val="ro-RO"/>
        </w:rPr>
        <w:t xml:space="preserve"> – de 2 ori; de la 200 la 300 m</w:t>
      </w:r>
      <w:r w:rsidRPr="00F24302">
        <w:rPr>
          <w:vertAlign w:val="superscript"/>
          <w:lang w:val="ro-RO"/>
        </w:rPr>
        <w:t>2</w:t>
      </w:r>
      <w:r w:rsidRPr="00F24302">
        <w:rPr>
          <w:lang w:val="ro-RO"/>
        </w:rPr>
        <w:t xml:space="preserve"> – de 10 ori; peste 300 m</w:t>
      </w:r>
      <w:r w:rsidRPr="00F24302">
        <w:rPr>
          <w:vertAlign w:val="superscript"/>
          <w:lang w:val="ro-RO"/>
        </w:rPr>
        <w:t>2</w:t>
      </w:r>
      <w:r w:rsidRPr="00F24302">
        <w:rPr>
          <w:lang w:val="ro-RO"/>
        </w:rPr>
        <w:t xml:space="preserve"> – de 15 ori), ceea ce nu a fost luat în considerare de către APL, acest fapt avînd impact asupra acumulării veniturilor din sursa în cauză. Totodată, în cadrul auditului s-a constatat că AAPL </w:t>
      </w:r>
      <w:r w:rsidRPr="00F24302">
        <w:rPr>
          <w:lang w:val="en-US"/>
        </w:rPr>
        <w:t xml:space="preserve">nu a solicitat și </w:t>
      </w:r>
      <w:r w:rsidRPr="00F24302">
        <w:rPr>
          <w:lang w:val="ro-RO"/>
        </w:rPr>
        <w:t>nu dețin o informație corespunzătoare referitor la suprafața caselor de locuit și construcțiilor principale, ceea ce face imposibilă aplicarea deciziilor consiliilor locale. Prin urmare, au fost identificate 47 de construcții cu suprafața de la 100 pînă la 300 m</w:t>
      </w:r>
      <w:r w:rsidRPr="00F24302">
        <w:rPr>
          <w:vertAlign w:val="superscript"/>
          <w:lang w:val="ro-RO"/>
        </w:rPr>
        <w:t>2</w:t>
      </w:r>
      <w:r w:rsidRPr="00F24302">
        <w:rPr>
          <w:lang w:val="ro-RO"/>
        </w:rPr>
        <w:t>, la care impozitul a fost calculat la cota de 0,1% din valoarea acestora, fiind diminuat cu 2,4 mii lei</w:t>
      </w:r>
      <w:r w:rsidRPr="00F24302">
        <w:rPr>
          <w:rStyle w:val="a7"/>
          <w:lang w:val="ro-RO"/>
        </w:rPr>
        <w:footnoteReference w:id="16"/>
      </w:r>
      <w:r w:rsidRPr="00F24302">
        <w:rPr>
          <w:lang w:val="ro-RO"/>
        </w:rPr>
        <w:t>. De menționat că nici o UAT de nivelul I nu a indicat, în calculele privind estimarea impozitului nominalizat, construcții cu suprafața mai mare de 100 m</w:t>
      </w:r>
      <w:r w:rsidRPr="00F24302">
        <w:rPr>
          <w:vertAlign w:val="superscript"/>
          <w:lang w:val="ro-RO"/>
        </w:rPr>
        <w:t>2</w:t>
      </w:r>
      <w:r w:rsidRPr="00F24302">
        <w:rPr>
          <w:lang w:val="ro-RO"/>
        </w:rPr>
        <w:t>;</w:t>
      </w:r>
    </w:p>
    <w:p w:rsidR="00F24302" w:rsidRPr="00F24302" w:rsidRDefault="00F24302" w:rsidP="00F24302">
      <w:pPr>
        <w:pStyle w:val="a9"/>
        <w:numPr>
          <w:ilvl w:val="0"/>
          <w:numId w:val="5"/>
        </w:numPr>
        <w:tabs>
          <w:tab w:val="left" w:pos="0"/>
        </w:tabs>
        <w:ind w:left="0" w:firstLine="426"/>
        <w:jc w:val="both"/>
        <w:rPr>
          <w:lang w:val="ro-RO"/>
        </w:rPr>
      </w:pPr>
      <w:r w:rsidRPr="00F24302">
        <w:rPr>
          <w:i/>
          <w:lang w:val="ro-RO"/>
        </w:rPr>
        <w:t xml:space="preserve"> impozitul pe bunurile imobiliare (evaluate) achitat de persoanele fizice nu a fost rectificat spre majorare. </w:t>
      </w:r>
      <w:r w:rsidRPr="00F24302">
        <w:rPr>
          <w:lang w:val="ro-RO"/>
        </w:rPr>
        <w:t>Astfel, veniturile din impozitul nominalizat au fost aprobate (în 2015), precizate și executate în sumă de, respectiv, 527,6, 527,6 și 545,0 mii lei, prevederile rectificate fiind realizate efectiv la nivel de 103%. Urmare a probelor de audit acumulate, s-a constatat că la estimarea impozitului pe bunurile imobiliare (evaluate) achitat de persoanele fizice primăria or.Sîngerei a aplicat cote mai mici decît cele aprobate. Ca urmare, primăria inițial a estimat și aprobat venituri din impozitul respectiv în sumă de 373,4 mii lei, dar în conformitate cu cotele aprobate era necesar de aprobat venituri în sumă de 419,0 mii lei, sau cu 45,6 mii lei mai mult.</w:t>
      </w:r>
    </w:p>
    <w:p w:rsidR="00F24302" w:rsidRPr="00F24302" w:rsidRDefault="00F24302" w:rsidP="00F24302">
      <w:pPr>
        <w:tabs>
          <w:tab w:val="left" w:pos="0"/>
        </w:tabs>
        <w:spacing w:after="0"/>
        <w:jc w:val="both"/>
        <w:rPr>
          <w:rFonts w:ascii="Times New Roman" w:hAnsi="Times New Roman"/>
          <w:sz w:val="24"/>
          <w:szCs w:val="24"/>
          <w:lang w:val="ro-RO"/>
        </w:rPr>
      </w:pPr>
    </w:p>
    <w:p w:rsidR="00F24302" w:rsidRPr="00F24302" w:rsidRDefault="00F24302" w:rsidP="00F24302">
      <w:pPr>
        <w:pStyle w:val="a9"/>
        <w:numPr>
          <w:ilvl w:val="0"/>
          <w:numId w:val="2"/>
        </w:numPr>
        <w:spacing w:after="120"/>
        <w:ind w:left="0" w:firstLine="426"/>
        <w:jc w:val="both"/>
        <w:rPr>
          <w:bCs/>
          <w:i/>
          <w:lang w:val="ro-RO"/>
        </w:rPr>
      </w:pPr>
      <w:r w:rsidRPr="00F24302">
        <w:rPr>
          <w:b/>
          <w:bCs/>
          <w:i/>
          <w:lang w:val="ro-RO"/>
        </w:rPr>
        <w:t>Se punctează necesitatea unor reglementări exhaustive privind veniturile din taxa pentru folosirea drumurilor, care să asigure evaluarea formării unei baze fiscale relevante.</w:t>
      </w:r>
      <w:r w:rsidRPr="00F24302">
        <w:rPr>
          <w:bCs/>
          <w:i/>
          <w:lang w:val="ro-RO"/>
        </w:rPr>
        <w:t xml:space="preserve"> </w:t>
      </w:r>
      <w:r w:rsidRPr="00F24302">
        <w:rPr>
          <w:lang w:val="ro-RO"/>
        </w:rPr>
        <w:t xml:space="preserve">În acest sens, se relevă că criteriile invocate în Notele metodologice nu au fost posibil de aplicat de DF în </w:t>
      </w:r>
      <w:r w:rsidRPr="00F24302">
        <w:rPr>
          <w:lang w:val="ro-RO"/>
        </w:rPr>
        <w:lastRenderedPageBreak/>
        <w:t>procesul de prognozare a veniturilor (din cauza lipsei unor date detaliate privind mijloacele de transport; lipsei unor reglementări exhaustive privind mijloacele de transport înmatriculate, dar care nu se exploatează etc.), ceea a condiționat derapaje în execuția bugetară. Astfel, pentru anul 2015 au fost estimate și aprobate venituri din taxa pentru folosirea drumurilor de către automobilele înmatriculate în republică în sumă de 4,7 mil.lei, efectiv asigurîndu-se o executare de 3,9 mil.lei (la nivel de 82,9%), sau cu 0,8 mil.lei mai puțin, această situație afectînd cheltuielile aprobate.</w:t>
      </w:r>
    </w:p>
    <w:p w:rsidR="00F24302" w:rsidRPr="00F24302" w:rsidRDefault="00F24302" w:rsidP="00F24302">
      <w:pPr>
        <w:pStyle w:val="a3"/>
        <w:numPr>
          <w:ilvl w:val="0"/>
          <w:numId w:val="2"/>
        </w:numPr>
        <w:tabs>
          <w:tab w:val="left" w:pos="0"/>
        </w:tabs>
        <w:autoSpaceDN w:val="0"/>
        <w:ind w:left="0" w:firstLine="426"/>
        <w:contextualSpacing/>
        <w:rPr>
          <w:rFonts w:eastAsia="Times New Roman"/>
          <w:i/>
          <w:szCs w:val="24"/>
          <w:lang w:val="ro-RO"/>
        </w:rPr>
      </w:pPr>
      <w:r w:rsidRPr="00F24302">
        <w:rPr>
          <w:b/>
          <w:bCs/>
          <w:i/>
          <w:iCs/>
          <w:szCs w:val="24"/>
          <w:lang w:val="ro-RO"/>
        </w:rPr>
        <w:t xml:space="preserve">Procesul de colectare a veniturilor nefiscale este afectat de nereguli și nu asigură o administrare eficientă a plăților cuvenite bugetelor locale. </w:t>
      </w:r>
    </w:p>
    <w:p w:rsidR="00F24302" w:rsidRPr="00F24302" w:rsidRDefault="00F24302" w:rsidP="00F24302">
      <w:pPr>
        <w:pStyle w:val="a3"/>
        <w:tabs>
          <w:tab w:val="left" w:pos="0"/>
        </w:tabs>
        <w:autoSpaceDN w:val="0"/>
        <w:contextualSpacing/>
        <w:rPr>
          <w:rFonts w:eastAsia="Times New Roman"/>
          <w:i/>
          <w:szCs w:val="24"/>
          <w:lang w:val="ro-RO"/>
        </w:rPr>
      </w:pPr>
      <w:r w:rsidRPr="00F24302">
        <w:rPr>
          <w:rFonts w:eastAsia="Times New Roman"/>
          <w:iCs/>
          <w:szCs w:val="24"/>
          <w:lang w:val="ro-RO"/>
        </w:rPr>
        <w:t>AAPL nu au dat dovadă de preocupare punctuală la evaluarea și colectarea tuturor veniturilor proprii provenite din gestionarea terenurilor și bunurilor proprietate publică a UAT. Nerespectarea prevederilor legislației funciare, lipsa unor proceduri ale controlului intern la componenta dată, precum și exercitarea necorespunzătoare a atribuțiilor de către angajații AAPL au lipsit bugetele locale de venituri în sumă totală de minimum 173,8 mii lei și maximum 1299,3 mii lei</w:t>
      </w:r>
      <w:r w:rsidRPr="00F24302">
        <w:rPr>
          <w:rFonts w:eastAsia="Times New Roman"/>
          <w:b/>
          <w:i/>
          <w:iCs/>
          <w:szCs w:val="24"/>
          <w:lang w:val="ro-RO"/>
        </w:rPr>
        <w:t xml:space="preserve"> </w:t>
      </w:r>
      <w:r w:rsidRPr="00F24302">
        <w:rPr>
          <w:rFonts w:eastAsia="Times New Roman"/>
          <w:iCs/>
          <w:szCs w:val="24"/>
          <w:lang w:val="ro-RO"/>
        </w:rPr>
        <w:t>și, totodată, nu a fost asigurată încasarea datoriilor debitoare în sumă de 792,3 mii lei.</w:t>
      </w:r>
      <w:r w:rsidRPr="00F24302">
        <w:rPr>
          <w:rFonts w:eastAsia="Times New Roman"/>
          <w:bCs/>
          <w:iCs/>
          <w:szCs w:val="24"/>
          <w:lang w:val="ro-RO"/>
        </w:rPr>
        <w:t xml:space="preserve"> </w:t>
      </w:r>
      <w:r w:rsidRPr="00F24302">
        <w:rPr>
          <w:rFonts w:eastAsia="Times New Roman"/>
          <w:iCs/>
          <w:szCs w:val="24"/>
          <w:lang w:val="ro-RO"/>
        </w:rPr>
        <w:t>Auditul relevă necesitatea de îmbunătăţire a managementului la componenta dată, inclusiv prin elaborarea unor reglementări privind evidența și urmărirea plăților provenite din gestionarea terenurilor și bunurilor proprietate publică, menite să asigure atît calcularea și încasarea integrală a plăților, cît și evidența datoriilor.</w:t>
      </w:r>
    </w:p>
    <w:p w:rsidR="00F24302" w:rsidRPr="00F24302" w:rsidRDefault="00F24302" w:rsidP="00F24302">
      <w:pPr>
        <w:spacing w:after="120" w:line="240" w:lineRule="auto"/>
        <w:ind w:firstLine="567"/>
        <w:jc w:val="both"/>
        <w:rPr>
          <w:rFonts w:ascii="Times New Roman" w:eastAsia="Times New Roman" w:hAnsi="Times New Roman"/>
          <w:sz w:val="24"/>
          <w:szCs w:val="24"/>
          <w:lang w:val="ro-RO"/>
        </w:rPr>
      </w:pPr>
      <w:r w:rsidRPr="00F24302">
        <w:rPr>
          <w:rFonts w:ascii="Times New Roman" w:eastAsia="Times New Roman" w:hAnsi="Times New Roman"/>
          <w:bCs/>
          <w:iCs/>
          <w:sz w:val="24"/>
          <w:szCs w:val="24"/>
          <w:lang w:val="ro-RO"/>
        </w:rPr>
        <w:t>În susținerea celor expuse, se exemplifică următoarele situații.</w:t>
      </w:r>
    </w:p>
    <w:p w:rsidR="00F24302" w:rsidRPr="00F24302" w:rsidRDefault="00F24302" w:rsidP="00F24302">
      <w:pPr>
        <w:pStyle w:val="a3"/>
        <w:numPr>
          <w:ilvl w:val="0"/>
          <w:numId w:val="1"/>
        </w:numPr>
        <w:tabs>
          <w:tab w:val="left" w:pos="0"/>
          <w:tab w:val="left" w:pos="708"/>
        </w:tabs>
        <w:autoSpaceDN w:val="0"/>
        <w:ind w:left="0" w:firstLine="426"/>
        <w:contextualSpacing/>
        <w:rPr>
          <w:rFonts w:eastAsia="Times New Roman"/>
          <w:i/>
          <w:szCs w:val="24"/>
          <w:lang w:val="ro-RO"/>
        </w:rPr>
      </w:pPr>
      <w:r w:rsidRPr="00F24302">
        <w:rPr>
          <w:i/>
          <w:szCs w:val="24"/>
          <w:lang w:val="ro-RO"/>
        </w:rPr>
        <w:t>Nereflectarea în evidența contabilă a creanțelor de la darea în arendă a terenurilor și darea în locațiune a bunurilor AAPL.</w:t>
      </w:r>
    </w:p>
    <w:p w:rsidR="00F24302" w:rsidRPr="00F24302" w:rsidRDefault="00F24302" w:rsidP="00F24302">
      <w:pPr>
        <w:pStyle w:val="a3"/>
        <w:tabs>
          <w:tab w:val="left" w:pos="708"/>
        </w:tabs>
        <w:autoSpaceDN w:val="0"/>
        <w:spacing w:after="120"/>
        <w:contextualSpacing/>
        <w:rPr>
          <w:szCs w:val="24"/>
          <w:lang w:val="ro-RO"/>
        </w:rPr>
      </w:pPr>
      <w:r w:rsidRPr="00F24302">
        <w:rPr>
          <w:szCs w:val="24"/>
          <w:lang w:val="ro-RO"/>
        </w:rPr>
        <w:t>Potrivit prevederilor regulamentare</w:t>
      </w:r>
      <w:r w:rsidRPr="00F24302">
        <w:rPr>
          <w:rStyle w:val="a7"/>
          <w:szCs w:val="24"/>
          <w:lang w:val="ro-RO"/>
        </w:rPr>
        <w:footnoteReference w:id="17"/>
      </w:r>
      <w:r w:rsidRPr="00F24302">
        <w:rPr>
          <w:szCs w:val="24"/>
          <w:lang w:val="ro-RO"/>
        </w:rPr>
        <w:t>, evidența sumelor calculate pentru plata arendei și a altor contribuții se ține la contul extrabilanțier 03 „Sume calculate”. Pe măsura încasării sumelor calculate, se diminuează datoriile debitoare, totodată încasarea sumelor, precum și transferul lor urmînd a fi reflectate în conturile bilanțiere</w:t>
      </w:r>
      <w:r w:rsidRPr="00F24302">
        <w:rPr>
          <w:rStyle w:val="a7"/>
          <w:szCs w:val="24"/>
          <w:lang w:val="ro-RO"/>
        </w:rPr>
        <w:footnoteReference w:id="18"/>
      </w:r>
      <w:r w:rsidRPr="00F24302">
        <w:rPr>
          <w:szCs w:val="24"/>
          <w:lang w:val="ro-RO"/>
        </w:rPr>
        <w:t>. Însă, contrar reglementărilor menționate, serviciile contabile din cadrul AAPL nu au reflectat corect în evidența contabilă (pentru anul 2015), la contul extrabilanţier respectiv, creanțele de la darea în arendă a terenurilor la data de 01.01.2016, în sumă de 131,8 mii lei</w:t>
      </w:r>
      <w:r w:rsidRPr="00F24302">
        <w:rPr>
          <w:rStyle w:val="a7"/>
          <w:szCs w:val="24"/>
          <w:lang w:val="ro-RO"/>
        </w:rPr>
        <w:footnoteReference w:id="19"/>
      </w:r>
      <w:r w:rsidRPr="00F24302">
        <w:rPr>
          <w:i/>
          <w:szCs w:val="24"/>
          <w:lang w:val="ro-RO"/>
        </w:rPr>
        <w:t>.</w:t>
      </w:r>
      <w:r w:rsidRPr="00F24302">
        <w:rPr>
          <w:szCs w:val="24"/>
          <w:lang w:val="ro-RO"/>
        </w:rPr>
        <w:t xml:space="preserve"> Se relevă că lipsa unei evidențe analitice generează riscul de neonorare de către agenții economici a obligațiilor asumate. Totodată, n</w:t>
      </w:r>
      <w:r w:rsidRPr="00F24302">
        <w:rPr>
          <w:bCs/>
          <w:szCs w:val="24"/>
          <w:lang w:val="ro-RO"/>
        </w:rPr>
        <w:t>eurmărirea respectării clauzelor contractuale privind termenele de plată determină venituri neacumulate, ceea ce la rîndul său afectează exercițiul bugetar. Astfel, potrivit datelor din bilanțurile contabile ale UAT de nivelul I (contul extrabilanțier 03</w:t>
      </w:r>
      <w:r w:rsidRPr="00F24302">
        <w:rPr>
          <w:szCs w:val="24"/>
          <w:lang w:val="ro-RO"/>
        </w:rPr>
        <w:t>„Sume calculate”)</w:t>
      </w:r>
      <w:r w:rsidRPr="00F24302">
        <w:rPr>
          <w:bCs/>
          <w:szCs w:val="24"/>
          <w:lang w:val="ro-RO"/>
        </w:rPr>
        <w:t xml:space="preserve"> și informațiilor privind contractele de arendă, la data de 01.01.2016 se numărau creanțe la plățile de arendă a terenurilor în sumă totală de 792,3 mii lei</w:t>
      </w:r>
      <w:r w:rsidRPr="00F24302">
        <w:rPr>
          <w:rStyle w:val="a7"/>
          <w:bCs/>
          <w:szCs w:val="24"/>
          <w:lang w:val="ro-RO"/>
        </w:rPr>
        <w:footnoteReference w:id="20"/>
      </w:r>
      <w:r w:rsidRPr="00F24302">
        <w:rPr>
          <w:bCs/>
          <w:szCs w:val="24"/>
          <w:lang w:val="ro-RO"/>
        </w:rPr>
        <w:t>, în privința cărora nu au fost întreprinse măsurile de rigoare.</w:t>
      </w:r>
    </w:p>
    <w:p w:rsidR="00F24302" w:rsidRPr="00F24302" w:rsidRDefault="00F24302" w:rsidP="00F24302">
      <w:pPr>
        <w:pStyle w:val="a3"/>
        <w:numPr>
          <w:ilvl w:val="0"/>
          <w:numId w:val="1"/>
        </w:numPr>
        <w:tabs>
          <w:tab w:val="left" w:pos="0"/>
          <w:tab w:val="left" w:pos="708"/>
        </w:tabs>
        <w:autoSpaceDN w:val="0"/>
        <w:spacing w:after="120"/>
        <w:ind w:left="0" w:firstLine="425"/>
        <w:contextualSpacing/>
        <w:rPr>
          <w:i/>
          <w:szCs w:val="24"/>
          <w:lang w:val="ro-RO"/>
        </w:rPr>
      </w:pPr>
      <w:r w:rsidRPr="00F24302">
        <w:rPr>
          <w:bCs/>
          <w:i/>
          <w:szCs w:val="24"/>
          <w:lang w:val="ro-RO"/>
        </w:rPr>
        <w:t>Multiple nereguli au fost constatate la colectarea plăților pentru arenda terenurilor cu altă destinație decît cea agricolă</w:t>
      </w:r>
      <w:r w:rsidRPr="00F24302">
        <w:rPr>
          <w:i/>
          <w:szCs w:val="24"/>
          <w:lang w:val="ro-RO"/>
        </w:rPr>
        <w:t xml:space="preserve">. </w:t>
      </w:r>
      <w:r w:rsidRPr="00F24302">
        <w:rPr>
          <w:szCs w:val="24"/>
          <w:lang w:val="ro-RO"/>
        </w:rPr>
        <w:t>Astfel,</w:t>
      </w:r>
      <w:r w:rsidRPr="00F24302">
        <w:rPr>
          <w:i/>
          <w:szCs w:val="24"/>
          <w:lang w:val="ro-RO"/>
        </w:rPr>
        <w:t xml:space="preserve"> </w:t>
      </w:r>
      <w:r w:rsidRPr="00F24302">
        <w:rPr>
          <w:szCs w:val="24"/>
          <w:lang w:val="ro-RO"/>
        </w:rPr>
        <w:t>probele de audit acumulate la acest compartiment denotă că planificarea veniturilor la cap.121.33 „Arenda terenurilor cu altă destinație decît cea agricolă” a fost efectuată fără a ține cont de evoluția bazei impozabile. Astfel, pentru anul bugetar expirat au fost aprobate venituri în sumă de 588,7 mii lei, acestea fiind executate în sumă de 611,9 mii lei, sau cu 23,2 mii lei mai mult. De rînd cu aceasta, au fost constatate rezerve la planificarea și încasarea veniturilor respective. În acest context se relevă că, potrivit prevederilor legale</w:t>
      </w:r>
      <w:r w:rsidRPr="00F24302">
        <w:rPr>
          <w:rStyle w:val="a7"/>
          <w:szCs w:val="24"/>
          <w:lang w:val="ro-RO"/>
        </w:rPr>
        <w:footnoteReference w:id="21"/>
      </w:r>
      <w:r w:rsidRPr="00F24302">
        <w:rPr>
          <w:szCs w:val="24"/>
          <w:lang w:val="ro-RO"/>
        </w:rPr>
        <w:t>,</w:t>
      </w:r>
      <w:r w:rsidRPr="00F24302">
        <w:rPr>
          <w:rFonts w:eastAsia="Times New Roman"/>
          <w:szCs w:val="24"/>
          <w:lang w:val="ro-RO"/>
        </w:rPr>
        <w:t xml:space="preserve"> </w:t>
      </w:r>
      <w:r w:rsidRPr="00F24302">
        <w:rPr>
          <w:szCs w:val="24"/>
          <w:lang w:val="ro-RO"/>
        </w:rPr>
        <w:t xml:space="preserve">în cazul în care proprietarii obiectivelor privatizate </w:t>
      </w:r>
      <w:r w:rsidRPr="00F24302">
        <w:rPr>
          <w:rFonts w:eastAsia="Times New Roman"/>
          <w:szCs w:val="24"/>
          <w:lang w:val="ro-RO"/>
        </w:rPr>
        <w:t>sau ai întreprinderilor și obiectivelor private nu au cumpărat</w:t>
      </w:r>
      <w:r w:rsidRPr="00F24302">
        <w:rPr>
          <w:szCs w:val="24"/>
          <w:lang w:val="ro-RO"/>
        </w:rPr>
        <w:t xml:space="preserve"> sau nu au arendat terenuri aferente acestora, de la ei se va încasa anual plata pentru </w:t>
      </w:r>
      <w:r w:rsidRPr="00F24302">
        <w:rPr>
          <w:szCs w:val="24"/>
          <w:lang w:val="ro-RO"/>
        </w:rPr>
        <w:lastRenderedPageBreak/>
        <w:t>folosirea terenului, stabilită în mod unilateral de consiliile locale, nu mai mică decît plata anuală pentru arenda calculată în funcție de tipul localității conform prevederilor legale (0,2%, 0,5% etc.) și nu mai mare de 10% din prețul normativ al pămîntului. Însă, urmare a faptului că consiliile locale, prin deciziile lor, nu au stabilit unilateral mărimea plății pentru folosirea terenurilor aferente construcțiilor, AAPL din raion</w:t>
      </w:r>
      <w:r w:rsidRPr="00F24302">
        <w:rPr>
          <w:rStyle w:val="a7"/>
          <w:bCs/>
          <w:szCs w:val="24"/>
          <w:lang w:val="ro-RO"/>
        </w:rPr>
        <w:footnoteReference w:id="22"/>
      </w:r>
      <w:r w:rsidRPr="00F24302">
        <w:rPr>
          <w:szCs w:val="24"/>
          <w:lang w:val="ro-RO"/>
        </w:rPr>
        <w:t xml:space="preserve"> nu au încasat toate plățile pasibile de la folosirea terenurilor proprietate publică a UAT, aferente subiecților privați, cu suprafața totală de 7,45</w:t>
      </w:r>
      <w:r w:rsidRPr="00F24302">
        <w:rPr>
          <w:bCs/>
          <w:szCs w:val="24"/>
          <w:lang w:val="ro-RO"/>
        </w:rPr>
        <w:t xml:space="preserve"> ha</w:t>
      </w:r>
      <w:r w:rsidRPr="00F24302">
        <w:rPr>
          <w:szCs w:val="24"/>
          <w:lang w:val="ro-RO"/>
        </w:rPr>
        <w:t>, în sumă de minimum</w:t>
      </w:r>
      <w:r w:rsidRPr="00F24302">
        <w:rPr>
          <w:bCs/>
          <w:szCs w:val="24"/>
          <w:lang w:val="ro-RO"/>
        </w:rPr>
        <w:t xml:space="preserve"> 37,5 mii lei</w:t>
      </w:r>
      <w:r w:rsidRPr="00F24302">
        <w:rPr>
          <w:szCs w:val="24"/>
          <w:lang w:val="ro-RO"/>
        </w:rPr>
        <w:t xml:space="preserve"> și maximum de </w:t>
      </w:r>
      <w:r w:rsidRPr="00F24302">
        <w:rPr>
          <w:bCs/>
          <w:szCs w:val="24"/>
          <w:lang w:val="ro-RO"/>
        </w:rPr>
        <w:t>947,2 mii lei</w:t>
      </w:r>
      <w:r w:rsidRPr="00F24302">
        <w:rPr>
          <w:szCs w:val="24"/>
          <w:lang w:val="ro-RO"/>
        </w:rPr>
        <w:t xml:space="preserve">. </w:t>
      </w:r>
    </w:p>
    <w:p w:rsidR="00F24302" w:rsidRPr="00F24302" w:rsidRDefault="00F24302" w:rsidP="00F24302">
      <w:pPr>
        <w:pStyle w:val="a3"/>
        <w:numPr>
          <w:ilvl w:val="0"/>
          <w:numId w:val="1"/>
        </w:numPr>
        <w:tabs>
          <w:tab w:val="left" w:pos="708"/>
        </w:tabs>
        <w:autoSpaceDN w:val="0"/>
        <w:spacing w:after="120"/>
        <w:ind w:left="0" w:firstLine="425"/>
        <w:contextualSpacing/>
        <w:rPr>
          <w:szCs w:val="24"/>
          <w:lang w:val="ro-RO"/>
        </w:rPr>
      </w:pPr>
      <w:r w:rsidRPr="00F24302">
        <w:rPr>
          <w:bCs/>
          <w:i/>
          <w:szCs w:val="24"/>
          <w:lang w:val="ro-RO"/>
        </w:rPr>
        <w:t>Au fost admise iregularități la colectarea plăților pentru arenda terenurilor agricole</w:t>
      </w:r>
      <w:r w:rsidRPr="00F24302">
        <w:rPr>
          <w:i/>
          <w:szCs w:val="24"/>
          <w:lang w:val="ro-RO"/>
        </w:rPr>
        <w:t xml:space="preserve">, ca rezultat bugetele locale fiind lipsite de venituri. </w:t>
      </w:r>
      <w:r w:rsidRPr="00F24302">
        <w:rPr>
          <w:szCs w:val="24"/>
          <w:lang w:val="ro-RO"/>
        </w:rPr>
        <w:t>Prin urmare, se relevă că lipsa unui control adecvat din partea AAPL asupra gestionării terenurilor proprietate publică, precum și a unei monitorizări suficiente a relațiilor privind stabilirea și încasarea plăților pentru utilizarea acestora au afectat capacitatea AAPL de a realiza integral veniturile aferente bugetelor locale, în consecință nefiind încasate mijloace bugetare din arenda terenurilor proprietate publică. Astfel,</w:t>
      </w:r>
    </w:p>
    <w:p w:rsidR="00F24302" w:rsidRPr="00F24302" w:rsidRDefault="00F24302" w:rsidP="00F24302">
      <w:pPr>
        <w:pStyle w:val="a3"/>
        <w:numPr>
          <w:ilvl w:val="1"/>
          <w:numId w:val="8"/>
        </w:numPr>
        <w:tabs>
          <w:tab w:val="left" w:pos="708"/>
        </w:tabs>
        <w:autoSpaceDN w:val="0"/>
        <w:ind w:left="0" w:firstLine="426"/>
        <w:contextualSpacing/>
        <w:rPr>
          <w:szCs w:val="24"/>
          <w:lang w:val="ro-RO"/>
        </w:rPr>
      </w:pPr>
      <w:r w:rsidRPr="00F24302">
        <w:rPr>
          <w:szCs w:val="24"/>
          <w:lang w:val="ro-RO"/>
        </w:rPr>
        <w:t>în conformitate cu prevederile regulamentare</w:t>
      </w:r>
      <w:r w:rsidRPr="00F24302">
        <w:rPr>
          <w:rStyle w:val="a7"/>
          <w:szCs w:val="24"/>
          <w:lang w:val="ro-RO"/>
        </w:rPr>
        <w:footnoteReference w:id="23"/>
      </w:r>
      <w:r w:rsidRPr="00F24302">
        <w:rPr>
          <w:szCs w:val="24"/>
          <w:lang w:val="ro-RO"/>
        </w:rPr>
        <w:t>, înainte de începerea licitației, Comisia de licitație stabilește pasul licitării, care nu va fi mai mic de 10 la sută din prețul de expunere, dar nu mai mare de 50 la sută, începutul licitației fiind considerat momentul din care licitantul anunță prețul de expunere al bunului și pasul licitării. Însă, urmare a atribuirii terenurilor agricole în arendă fără organizarea licitațiilor publice respective, la unele AAPL</w:t>
      </w:r>
      <w:r w:rsidRPr="00F24302">
        <w:rPr>
          <w:rStyle w:val="a7"/>
          <w:szCs w:val="24"/>
          <w:lang w:val="ro-RO"/>
        </w:rPr>
        <w:footnoteReference w:id="24"/>
      </w:r>
      <w:r w:rsidRPr="00F24302">
        <w:rPr>
          <w:szCs w:val="24"/>
          <w:lang w:val="ro-RO"/>
        </w:rPr>
        <w:t xml:space="preserve"> bugetele locale au fost lipsite de venituri în sumă de minimum</w:t>
      </w:r>
      <w:r w:rsidRPr="00F24302">
        <w:rPr>
          <w:bCs/>
          <w:szCs w:val="24"/>
          <w:lang w:val="ro-RO"/>
        </w:rPr>
        <w:t xml:space="preserve"> 13,3 mii lei</w:t>
      </w:r>
      <w:r w:rsidRPr="00F24302">
        <w:rPr>
          <w:szCs w:val="24"/>
          <w:lang w:val="ro-RO"/>
        </w:rPr>
        <w:t xml:space="preserve"> (10%) și maximum 67,3</w:t>
      </w:r>
      <w:r w:rsidRPr="00F24302">
        <w:rPr>
          <w:bCs/>
          <w:szCs w:val="24"/>
          <w:lang w:val="ro-RO"/>
        </w:rPr>
        <w:t xml:space="preserve"> mii lei</w:t>
      </w:r>
      <w:r w:rsidRPr="00F24302">
        <w:rPr>
          <w:szCs w:val="24"/>
          <w:lang w:val="ro-RO"/>
        </w:rPr>
        <w:t xml:space="preserve"> (50%), ceea ce constituie pasul licitării;</w:t>
      </w:r>
    </w:p>
    <w:p w:rsidR="00F24302" w:rsidRPr="00F24302" w:rsidRDefault="00F24302" w:rsidP="00F24302">
      <w:pPr>
        <w:pStyle w:val="a3"/>
        <w:numPr>
          <w:ilvl w:val="1"/>
          <w:numId w:val="8"/>
        </w:numPr>
        <w:tabs>
          <w:tab w:val="left" w:pos="708"/>
        </w:tabs>
        <w:autoSpaceDN w:val="0"/>
        <w:ind w:left="0" w:firstLine="426"/>
        <w:contextualSpacing/>
        <w:rPr>
          <w:szCs w:val="24"/>
          <w:lang w:val="ro-RO"/>
        </w:rPr>
      </w:pPr>
      <w:r w:rsidRPr="00F24302">
        <w:rPr>
          <w:szCs w:val="24"/>
          <w:lang w:val="ro-RO"/>
        </w:rPr>
        <w:t>ca rezultat al diminuării neîntemeiate a indicilor cadastrali, tarifului și suprafeței terenurilor transmise în arendă, unele AAPL</w:t>
      </w:r>
      <w:r w:rsidRPr="00F24302">
        <w:rPr>
          <w:rStyle w:val="a7"/>
          <w:szCs w:val="24"/>
          <w:lang w:val="ro-RO"/>
        </w:rPr>
        <w:footnoteReference w:id="25"/>
      </w:r>
      <w:r w:rsidRPr="00F24302">
        <w:rPr>
          <w:szCs w:val="24"/>
          <w:lang w:val="ro-RO"/>
        </w:rPr>
        <w:t xml:space="preserve"> nu au realizat venituri în sumă de 23,5 mii lei;</w:t>
      </w:r>
    </w:p>
    <w:p w:rsidR="00F24302" w:rsidRPr="00F24302" w:rsidRDefault="00F24302" w:rsidP="00F24302">
      <w:pPr>
        <w:pStyle w:val="a3"/>
        <w:numPr>
          <w:ilvl w:val="1"/>
          <w:numId w:val="8"/>
        </w:numPr>
        <w:tabs>
          <w:tab w:val="left" w:pos="708"/>
        </w:tabs>
        <w:autoSpaceDN w:val="0"/>
        <w:ind w:left="0" w:firstLine="426"/>
        <w:contextualSpacing/>
        <w:rPr>
          <w:szCs w:val="24"/>
          <w:lang w:val="ro-RO"/>
        </w:rPr>
      </w:pPr>
      <w:r w:rsidRPr="00F24302">
        <w:rPr>
          <w:szCs w:val="24"/>
          <w:lang w:val="ro-RO"/>
        </w:rPr>
        <w:t xml:space="preserve">urmare a folosirii terenurilor în lipsa contractelor de arendă cu suprafața de 45 ha, nu au fost încasate venituri în sumă de minimum 40,4 mii lei și maximum </w:t>
      </w:r>
      <w:r w:rsidRPr="00F24302">
        <w:rPr>
          <w:bCs/>
          <w:szCs w:val="24"/>
          <w:lang w:val="ro-RO"/>
        </w:rPr>
        <w:t>202,2 mii lei</w:t>
      </w:r>
      <w:r w:rsidRPr="00F24302">
        <w:rPr>
          <w:rStyle w:val="a7"/>
          <w:bCs/>
          <w:szCs w:val="24"/>
          <w:lang w:val="ro-RO"/>
        </w:rPr>
        <w:footnoteReference w:id="26"/>
      </w:r>
      <w:r w:rsidRPr="00F24302">
        <w:rPr>
          <w:szCs w:val="24"/>
          <w:lang w:val="ro-RO"/>
        </w:rPr>
        <w:t>;</w:t>
      </w:r>
    </w:p>
    <w:p w:rsidR="00F24302" w:rsidRPr="00F24302" w:rsidRDefault="00F24302" w:rsidP="00F24302">
      <w:pPr>
        <w:pStyle w:val="a3"/>
        <w:numPr>
          <w:ilvl w:val="1"/>
          <w:numId w:val="8"/>
        </w:numPr>
        <w:tabs>
          <w:tab w:val="left" w:pos="708"/>
        </w:tabs>
        <w:autoSpaceDN w:val="0"/>
        <w:spacing w:after="120"/>
        <w:ind w:left="0" w:firstLine="426"/>
        <w:contextualSpacing/>
        <w:rPr>
          <w:szCs w:val="24"/>
          <w:lang w:val="ro-RO"/>
        </w:rPr>
      </w:pPr>
      <w:r w:rsidRPr="00F24302">
        <w:rPr>
          <w:szCs w:val="24"/>
          <w:lang w:val="ro-RO"/>
        </w:rPr>
        <w:t xml:space="preserve"> lipsa clauzei în contractele de arendă privind modificarea ulterioară a plății de arendă în cazul modificării prețului normativ al pămîntului în conformitate cu prevederile Legii, generează pe viitor litigii, precum și venituri neîncasate.</w:t>
      </w:r>
    </w:p>
    <w:p w:rsidR="00F24302" w:rsidRPr="00F24302" w:rsidRDefault="00F24302" w:rsidP="00F24302">
      <w:pPr>
        <w:pStyle w:val="a3"/>
        <w:tabs>
          <w:tab w:val="left" w:pos="0"/>
        </w:tabs>
        <w:autoSpaceDN w:val="0"/>
        <w:spacing w:after="120"/>
        <w:contextualSpacing/>
        <w:rPr>
          <w:szCs w:val="24"/>
          <w:lang w:val="ro-RO"/>
        </w:rPr>
      </w:pPr>
      <w:r w:rsidRPr="00F24302">
        <w:rPr>
          <w:szCs w:val="24"/>
          <w:lang w:val="ro-RO"/>
        </w:rPr>
        <w:t>Consiliul com. Chișcăreni în 2015 a scutit fără nici un temei o parte din arendași de plata arendei în sumă 59,1 mii lei, determinîndu-i pe ceilalți arendași de a nu achita plata respectivă, astfel fiind înregistrată la data de 01.01.2016 o datorie în sumă de 73,6 mii lei.</w:t>
      </w:r>
    </w:p>
    <w:p w:rsidR="00F24302" w:rsidRPr="00F24302" w:rsidRDefault="00F24302" w:rsidP="00F24302">
      <w:pPr>
        <w:pStyle w:val="a3"/>
        <w:tabs>
          <w:tab w:val="left" w:pos="0"/>
        </w:tabs>
        <w:autoSpaceDN w:val="0"/>
        <w:spacing w:after="120"/>
        <w:contextualSpacing/>
        <w:rPr>
          <w:szCs w:val="24"/>
          <w:lang w:val="ro-RO"/>
        </w:rPr>
      </w:pPr>
    </w:p>
    <w:p w:rsidR="00F24302" w:rsidRPr="00F24302" w:rsidRDefault="00F24302" w:rsidP="00F24302">
      <w:pPr>
        <w:pStyle w:val="a3"/>
        <w:widowControl w:val="0"/>
        <w:numPr>
          <w:ilvl w:val="0"/>
          <w:numId w:val="2"/>
        </w:numPr>
        <w:tabs>
          <w:tab w:val="left" w:pos="0"/>
        </w:tabs>
        <w:suppressAutoHyphens/>
        <w:autoSpaceDN w:val="0"/>
        <w:spacing w:after="120"/>
        <w:ind w:left="0" w:firstLine="426"/>
        <w:contextualSpacing/>
        <w:rPr>
          <w:rFonts w:eastAsia="Nimbus Sans L"/>
          <w:b/>
          <w:bCs/>
          <w:i/>
          <w:iCs/>
          <w:color w:val="00000A"/>
          <w:kern w:val="3"/>
          <w:szCs w:val="24"/>
          <w:lang w:val="ro-RO" w:eastAsia="zh-CN" w:bidi="hi-IN"/>
        </w:rPr>
      </w:pPr>
      <w:r w:rsidRPr="00F24302">
        <w:rPr>
          <w:rFonts w:eastAsia="Nimbus Sans L"/>
          <w:b/>
          <w:bCs/>
          <w:i/>
          <w:iCs/>
          <w:color w:val="00000A"/>
          <w:kern w:val="3"/>
          <w:szCs w:val="24"/>
          <w:lang w:val="ro-RO" w:eastAsia="zh-CN" w:bidi="hi-IN"/>
        </w:rPr>
        <w:t>Planificarea neconformă și administrarea ineficientă a veniturilor din taxele locale au lipsit bugetele UAT de venituri în sumă de 217,7 mii lei.</w:t>
      </w:r>
      <w:r w:rsidRPr="00F24302">
        <w:rPr>
          <w:rFonts w:eastAsia="Nimbus Sans L"/>
          <w:bCs/>
          <w:iCs/>
          <w:color w:val="00000A"/>
          <w:kern w:val="3"/>
          <w:szCs w:val="24"/>
          <w:lang w:val="ro-RO" w:eastAsia="zh-CN" w:bidi="hi-IN"/>
        </w:rPr>
        <w:t xml:space="preserve"> Astfel,</w:t>
      </w:r>
    </w:p>
    <w:p w:rsidR="00F24302" w:rsidRPr="00F24302" w:rsidRDefault="00F24302" w:rsidP="00F24302">
      <w:pPr>
        <w:pStyle w:val="a3"/>
        <w:numPr>
          <w:ilvl w:val="0"/>
          <w:numId w:val="24"/>
        </w:numPr>
        <w:ind w:left="0" w:firstLine="426"/>
        <w:rPr>
          <w:szCs w:val="24"/>
          <w:lang w:val="ro-RO"/>
        </w:rPr>
      </w:pPr>
      <w:r w:rsidRPr="00F24302">
        <w:rPr>
          <w:szCs w:val="24"/>
          <w:lang w:val="ro-RO"/>
        </w:rPr>
        <w:t>urmare a auditării modului de prognozare a veniturilor din taxa pentru unitățile comerciale și/sau de prestări servicii, s-a constatat că AAPL de nivelul I nu dispun de evidența exhaustivă a unităților comerciale, în consecință veniturile la acest capitol au fost aprobate reieșind din încasările pe anii precedenți, fiind executate în sumă de 2869,3 mii lei, cu o depășire față de cele aprobate de 331,6 mii lei;</w:t>
      </w:r>
    </w:p>
    <w:p w:rsidR="00F24302" w:rsidRPr="00F24302" w:rsidRDefault="00F24302" w:rsidP="00F24302">
      <w:pPr>
        <w:pStyle w:val="a3"/>
        <w:numPr>
          <w:ilvl w:val="0"/>
          <w:numId w:val="7"/>
        </w:numPr>
        <w:tabs>
          <w:tab w:val="left" w:pos="708"/>
        </w:tabs>
        <w:autoSpaceDN w:val="0"/>
        <w:ind w:left="0" w:firstLine="425"/>
        <w:contextualSpacing/>
        <w:rPr>
          <w:rFonts w:eastAsia="Nimbus Sans L"/>
          <w:color w:val="00000A"/>
          <w:kern w:val="3"/>
          <w:szCs w:val="24"/>
          <w:lang w:val="ro-RO" w:eastAsia="zh-CN" w:bidi="hi-IN"/>
        </w:rPr>
      </w:pPr>
      <w:r w:rsidRPr="00F24302">
        <w:rPr>
          <w:rFonts w:eastAsia="Nimbus Sans L"/>
          <w:color w:val="00000A"/>
          <w:kern w:val="3"/>
          <w:szCs w:val="24"/>
          <w:lang w:val="ro-RO" w:eastAsia="zh-CN" w:bidi="hi-IN"/>
        </w:rPr>
        <w:t>ca urmare a stabilirii taxei pentru unitățile comerciale</w:t>
      </w:r>
      <w:r w:rsidRPr="00F24302">
        <w:rPr>
          <w:szCs w:val="24"/>
          <w:lang w:val="ro-RO"/>
        </w:rPr>
        <w:t xml:space="preserve"> separat</w:t>
      </w:r>
      <w:r w:rsidRPr="00F24302">
        <w:rPr>
          <w:rFonts w:eastAsia="Nimbus Sans L"/>
          <w:color w:val="00000A"/>
          <w:kern w:val="3"/>
          <w:szCs w:val="24"/>
          <w:lang w:val="ro-RO" w:eastAsia="zh-CN" w:bidi="hi-IN"/>
        </w:rPr>
        <w:t xml:space="preserve"> pentru anumiți agenți economici, CO Sîngerei a diminuat veniturile cu 145,2 mii lei, neținînd cont de taxele pentru același gen de activitate, suprafața și locul de amplasare, astfel nerespectînd prevederile art.6 alin.(8) lit.c) din Codul fiscal, conform căruia un principiu de bază la determinarea impozitelor și taxelor este echitatea fiscală – tratarea egală a persoanelor fizice și juridice care activează în condiții similare, în vederea asigurării unei sarcini fiscale egale. La fel, ignorînd principiul echității fiscale,</w:t>
      </w:r>
      <w:r w:rsidRPr="00F24302">
        <w:rPr>
          <w:szCs w:val="24"/>
          <w:lang w:val="ro-RO"/>
        </w:rPr>
        <w:t xml:space="preserve"> prin deciziile locale a 5 UAT din raion</w:t>
      </w:r>
      <w:r w:rsidRPr="00F24302">
        <w:rPr>
          <w:rStyle w:val="a7"/>
          <w:szCs w:val="24"/>
          <w:lang w:val="ro-RO"/>
        </w:rPr>
        <w:footnoteReference w:id="27"/>
      </w:r>
      <w:r w:rsidRPr="00F24302">
        <w:rPr>
          <w:szCs w:val="24"/>
          <w:lang w:val="ro-RO"/>
        </w:rPr>
        <w:t xml:space="preserve">, </w:t>
      </w:r>
      <w:r w:rsidRPr="00F24302">
        <w:rPr>
          <w:rFonts w:eastAsia="Nimbus Sans L"/>
          <w:color w:val="00000A"/>
          <w:kern w:val="3"/>
          <w:szCs w:val="24"/>
          <w:lang w:val="ro-RO" w:eastAsia="zh-CN" w:bidi="hi-IN"/>
        </w:rPr>
        <w:t>în temeiul art.296 lit.a) din Codul fiscal, un agent economic a fost scutit de taxa pentru unitățile de comerț,</w:t>
      </w:r>
      <w:r w:rsidRPr="00F24302">
        <w:rPr>
          <w:szCs w:val="24"/>
          <w:lang w:val="ro-RO"/>
        </w:rPr>
        <w:t xml:space="preserve"> în sumă de 11,4 mii lei</w:t>
      </w:r>
      <w:r w:rsidRPr="00F24302">
        <w:rPr>
          <w:rFonts w:eastAsia="Nimbus Sans L"/>
          <w:color w:val="00000A"/>
          <w:kern w:val="3"/>
          <w:szCs w:val="24"/>
          <w:lang w:val="ro-RO" w:eastAsia="zh-CN" w:bidi="hi-IN"/>
        </w:rPr>
        <w:t>;</w:t>
      </w:r>
    </w:p>
    <w:p w:rsidR="00F24302" w:rsidRPr="00F24302" w:rsidRDefault="00F24302" w:rsidP="00F24302">
      <w:pPr>
        <w:pStyle w:val="a3"/>
        <w:numPr>
          <w:ilvl w:val="0"/>
          <w:numId w:val="7"/>
        </w:numPr>
        <w:tabs>
          <w:tab w:val="left" w:pos="708"/>
        </w:tabs>
        <w:autoSpaceDN w:val="0"/>
        <w:ind w:left="0" w:firstLine="425"/>
        <w:contextualSpacing/>
        <w:rPr>
          <w:rFonts w:eastAsia="Nimbus Sans L"/>
          <w:color w:val="00000A"/>
          <w:kern w:val="3"/>
          <w:szCs w:val="24"/>
          <w:lang w:val="ro-RO" w:eastAsia="zh-CN" w:bidi="hi-IN"/>
        </w:rPr>
      </w:pPr>
      <w:r w:rsidRPr="00F24302">
        <w:rPr>
          <w:szCs w:val="24"/>
          <w:lang w:val="ro-RO"/>
        </w:rPr>
        <w:lastRenderedPageBreak/>
        <w:t>potrivit prevederilor regulamentare</w:t>
      </w:r>
      <w:r w:rsidRPr="00F24302">
        <w:rPr>
          <w:rStyle w:val="a7"/>
          <w:szCs w:val="24"/>
          <w:lang w:val="ro-RO"/>
        </w:rPr>
        <w:footnoteReference w:id="28"/>
      </w:r>
      <w:r w:rsidRPr="00F24302">
        <w:rPr>
          <w:szCs w:val="24"/>
          <w:lang w:val="ro-RO"/>
        </w:rPr>
        <w:t>, AAPL au atribuții privind eliberarea autorizațiilor de funcționare pentru unitățile ce comercializează produse și servicii, precum și privind exercitarea controlului corespunzător asupra respectării regulilor de comercializare a produselor și serviciilor și de funcționare a comercianților. Însă, ca urmare a neîndeplinirii obligațiilor prevăzute de legislație, neexecutării controlului corespunzător și nedeterminării a 19 obiecte comerciale ca bază impozabilă pentru plata taxei pentru unitățile comerciale, AAPL din 16 UAT</w:t>
      </w:r>
      <w:r w:rsidRPr="00F24302">
        <w:rPr>
          <w:rStyle w:val="a7"/>
          <w:szCs w:val="24"/>
          <w:lang w:val="ro-RO"/>
        </w:rPr>
        <w:footnoteReference w:id="29"/>
      </w:r>
      <w:r w:rsidRPr="00F24302">
        <w:rPr>
          <w:szCs w:val="24"/>
          <w:lang w:val="ro-RO"/>
        </w:rPr>
        <w:t xml:space="preserve"> nu au asigurat prognozarea pentru anul 2015, precum și nu au acumulat veniturile corespunzătoare din această sursă în sumă totală de 41,5 mii lei;</w:t>
      </w:r>
    </w:p>
    <w:p w:rsidR="00F24302" w:rsidRPr="00F24302" w:rsidRDefault="00F24302" w:rsidP="00F24302">
      <w:pPr>
        <w:pStyle w:val="a3"/>
        <w:numPr>
          <w:ilvl w:val="0"/>
          <w:numId w:val="7"/>
        </w:numPr>
        <w:tabs>
          <w:tab w:val="left" w:pos="708"/>
        </w:tabs>
        <w:autoSpaceDN w:val="0"/>
        <w:ind w:left="0" w:firstLine="425"/>
        <w:contextualSpacing/>
        <w:rPr>
          <w:rFonts w:eastAsia="Nimbus Sans L"/>
          <w:color w:val="00000A"/>
          <w:kern w:val="3"/>
          <w:szCs w:val="24"/>
          <w:lang w:val="ro-RO" w:eastAsia="zh-CN" w:bidi="hi-IN"/>
        </w:rPr>
      </w:pPr>
      <w:r w:rsidRPr="00F24302">
        <w:rPr>
          <w:rFonts w:eastAsia="Nimbus Sans L"/>
          <w:color w:val="00000A"/>
          <w:kern w:val="3"/>
          <w:szCs w:val="24"/>
          <w:lang w:val="ro-RO" w:eastAsia="zh-CN" w:bidi="hi-IN"/>
        </w:rPr>
        <w:t>CO Sîngerei</w:t>
      </w:r>
      <w:r w:rsidRPr="00F24302">
        <w:rPr>
          <w:szCs w:val="24"/>
          <w:lang w:val="ro-RO"/>
        </w:rPr>
        <w:t xml:space="preserve"> a aprobat venituri din taxa pentru evacuarea deșeurilor (12 mii lei) în lipsa informațiilor cu privire la </w:t>
      </w:r>
      <w:r w:rsidRPr="00F24302">
        <w:rPr>
          <w:szCs w:val="24"/>
          <w:lang w:val="ro-RO" w:eastAsia="en-US"/>
        </w:rPr>
        <w:t>numărul de persoane fizice înscrise la adresa declarată ca domiciliu, ce constituie, potrivit</w:t>
      </w:r>
      <w:r w:rsidRPr="00F24302">
        <w:rPr>
          <w:szCs w:val="24"/>
          <w:lang w:val="ro-RO"/>
        </w:rPr>
        <w:t xml:space="preserve"> prevederilor legale</w:t>
      </w:r>
      <w:r w:rsidRPr="00F24302">
        <w:rPr>
          <w:szCs w:val="24"/>
          <w:vertAlign w:val="superscript"/>
          <w:lang w:val="ro-RO"/>
        </w:rPr>
        <w:footnoteReference w:id="30"/>
      </w:r>
      <w:r w:rsidRPr="00F24302">
        <w:rPr>
          <w:szCs w:val="24"/>
          <w:lang w:val="ro-RO"/>
        </w:rPr>
        <w:t>, obiectul impunerii la taxa nominalizată. În conformitate cu datele statistice, la situația din 01.01.2014 populația stabilă a or.Sîngerei era de 13,5 mii persoane. Astfel, dacă taxa aprobată  pentru o persoană a constituit 2 lei anual, veniturile urmau să fie de 27,0 mii lei, sau cu 15,0 mii lei mai mult decît suma aprobată. De asemenea, SCITL din cadrul primăriei or.Sîngerei, desemnat responsabil pentru colectarea veniturilor din sursele locale, nu a asigurat colectarea integrală a taxei, încasînd (în 2015) numai 7,4 mii lei, bugetul local fiind lipsit de venituri pasibile încasării de pînă la 19,6 mii lei. Mai mult decît atît, responsabilul din cadrul primăriei nu ține evidența persoanelor fizice înscrise la adresa declarată ca domiciliu</w:t>
      </w:r>
      <w:r w:rsidRPr="00F24302">
        <w:rPr>
          <w:szCs w:val="24"/>
          <w:lang w:val="ro-RO" w:eastAsia="en-US"/>
        </w:rPr>
        <w:t>, sumelor calculate și achitate, precum și a restanțelor existente;</w:t>
      </w:r>
    </w:p>
    <w:p w:rsidR="00F24302" w:rsidRPr="00F24302" w:rsidRDefault="00F24302" w:rsidP="00F24302">
      <w:pPr>
        <w:pStyle w:val="a3"/>
        <w:numPr>
          <w:ilvl w:val="0"/>
          <w:numId w:val="9"/>
        </w:numPr>
        <w:tabs>
          <w:tab w:val="left" w:pos="567"/>
          <w:tab w:val="left" w:pos="709"/>
        </w:tabs>
        <w:ind w:left="0" w:firstLine="567"/>
        <w:rPr>
          <w:rFonts w:eastAsia="Nimbus Sans L"/>
          <w:b/>
          <w:i/>
          <w:color w:val="00000A"/>
          <w:kern w:val="3"/>
          <w:szCs w:val="24"/>
          <w:lang w:val="ro-RO" w:eastAsia="zh-CN" w:bidi="hi-IN"/>
        </w:rPr>
      </w:pPr>
      <w:r w:rsidRPr="00F24302">
        <w:rPr>
          <w:rFonts w:eastAsia="Nimbus Sans L"/>
          <w:i/>
          <w:color w:val="00000A"/>
          <w:kern w:val="3"/>
          <w:szCs w:val="24"/>
          <w:lang w:val="ro-RO" w:eastAsia="zh-CN" w:bidi="hi-IN"/>
        </w:rPr>
        <w:t>au fost identificate rezerve la achitarea taxei pentru dispozitivele publicitare</w:t>
      </w:r>
      <w:r w:rsidRPr="00F24302">
        <w:rPr>
          <w:rFonts w:eastAsia="Nimbus Sans L"/>
          <w:color w:val="00000A"/>
          <w:kern w:val="3"/>
          <w:szCs w:val="24"/>
          <w:lang w:val="ro-RO" w:eastAsia="zh-CN" w:bidi="hi-IN"/>
        </w:rPr>
        <w:t xml:space="preserve">. </w:t>
      </w:r>
      <w:r w:rsidRPr="00F24302">
        <w:rPr>
          <w:szCs w:val="24"/>
          <w:lang w:val="ro-RO"/>
        </w:rPr>
        <w:t>În acest sens, se relevă că</w:t>
      </w:r>
      <w:r w:rsidRPr="00F24302">
        <w:rPr>
          <w:rFonts w:eastAsia="Nimbus Sans L"/>
          <w:color w:val="00000A"/>
          <w:kern w:val="3"/>
          <w:szCs w:val="24"/>
          <w:lang w:val="ro-RO" w:eastAsia="zh-CN" w:bidi="hi-IN"/>
        </w:rPr>
        <w:t xml:space="preserve"> prin operarea modificărilor în legislație</w:t>
      </w:r>
      <w:r w:rsidRPr="00F24302">
        <w:rPr>
          <w:rStyle w:val="a7"/>
          <w:rFonts w:eastAsia="Nimbus Sans L"/>
          <w:color w:val="00000A"/>
          <w:kern w:val="3"/>
          <w:szCs w:val="24"/>
          <w:lang w:val="ro-RO" w:eastAsia="zh-CN" w:bidi="hi-IN"/>
        </w:rPr>
        <w:footnoteReference w:id="31"/>
      </w:r>
      <w:r w:rsidRPr="00F24302">
        <w:rPr>
          <w:rFonts w:eastAsia="Times New Roman"/>
          <w:szCs w:val="24"/>
          <w:lang w:val="ro-RO"/>
        </w:rPr>
        <w:t>, începînd cu 01.05.2015 a fost extinsă baza impozabilă a taxei pentru dispozitivele publicitare, cu dispozitivele publicitare amplasate la locul desfășurării activității de întreprinzător și utilizate în cadrul desfășurării activității de întreprinzător proprii sau în colaborare cu terțe persoane pentru amplasarea oricărei altei informații aferente activității de întreprinzător (inclusiv denumirea agentului economic)</w:t>
      </w:r>
      <w:r w:rsidRPr="00F24302">
        <w:rPr>
          <w:rFonts w:eastAsia="Nimbus Sans L"/>
          <w:color w:val="00000A"/>
          <w:kern w:val="3"/>
          <w:szCs w:val="24"/>
          <w:lang w:val="ro-RO" w:eastAsia="zh-CN" w:bidi="hi-IN"/>
        </w:rPr>
        <w:t xml:space="preserve">. Astfel, </w:t>
      </w:r>
      <w:r w:rsidRPr="00F24302">
        <w:rPr>
          <w:szCs w:val="24"/>
          <w:lang w:val="ro-RO"/>
        </w:rPr>
        <w:t xml:space="preserve">pentru anul 2015 au fost estimate, aprobate și executate venituri din taxa pentru dispozitivele publicitare în sumă de 57,7 mii lei, ceea ce confirmă </w:t>
      </w:r>
      <w:r w:rsidRPr="00F24302">
        <w:rPr>
          <w:rFonts w:eastAsia="Nimbus Sans L"/>
          <w:color w:val="00000A"/>
          <w:kern w:val="3"/>
          <w:szCs w:val="24"/>
          <w:lang w:val="ro-RO" w:eastAsia="zh-CN" w:bidi="hi-IN"/>
        </w:rPr>
        <w:t>lipsa majorării veniturilor la taxa nominalizată. Se atestă în acest sens că, în urma verificărilor pe teren, la 6</w:t>
      </w:r>
      <w:r w:rsidRPr="00F24302">
        <w:rPr>
          <w:rStyle w:val="a7"/>
          <w:rFonts w:eastAsia="Nimbus Sans L"/>
          <w:color w:val="00000A"/>
          <w:kern w:val="3"/>
          <w:szCs w:val="24"/>
          <w:lang w:val="ro-RO" w:eastAsia="zh-CN" w:bidi="hi-IN"/>
        </w:rPr>
        <w:footnoteReference w:id="32"/>
      </w:r>
      <w:r w:rsidRPr="00F24302">
        <w:rPr>
          <w:rFonts w:eastAsia="Nimbus Sans L"/>
          <w:color w:val="00000A"/>
          <w:kern w:val="3"/>
          <w:szCs w:val="24"/>
          <w:lang w:val="ro-RO" w:eastAsia="zh-CN" w:bidi="hi-IN"/>
        </w:rPr>
        <w:t xml:space="preserve"> din 8 UAT a fost constatat că agenții economici folosesc în locurile de comercializare și de prestări servicii dispozitive publicitare mai mari de 0,5 m</w:t>
      </w:r>
      <w:r w:rsidRPr="00F24302">
        <w:rPr>
          <w:rFonts w:eastAsia="Nimbus Sans L"/>
          <w:color w:val="00000A"/>
          <w:kern w:val="3"/>
          <w:szCs w:val="24"/>
          <w:vertAlign w:val="superscript"/>
          <w:lang w:val="ro-RO" w:eastAsia="zh-CN" w:bidi="hi-IN"/>
        </w:rPr>
        <w:t xml:space="preserve">2 </w:t>
      </w:r>
      <w:r w:rsidRPr="00F24302">
        <w:rPr>
          <w:rFonts w:eastAsia="Nimbus Sans L"/>
          <w:color w:val="00000A"/>
          <w:kern w:val="3"/>
          <w:szCs w:val="24"/>
          <w:lang w:val="ro-RO" w:eastAsia="zh-CN" w:bidi="hi-IN"/>
        </w:rPr>
        <w:t>în lipsa autorizării corespunzătoare și, respectiv, fără achitarea taxei locale. Reieșind din cele relatate, AAPL din raion nu au întreprins măsuri pentru a determina baza impozabilă în această privință.</w:t>
      </w:r>
    </w:p>
    <w:p w:rsidR="00F24302" w:rsidRPr="00F24302" w:rsidRDefault="00F24302" w:rsidP="00F24302">
      <w:pPr>
        <w:pStyle w:val="a3"/>
        <w:tabs>
          <w:tab w:val="left" w:pos="567"/>
          <w:tab w:val="left" w:pos="709"/>
        </w:tabs>
        <w:ind w:firstLine="0"/>
        <w:rPr>
          <w:rFonts w:eastAsia="Nimbus Sans L"/>
          <w:b/>
          <w:i/>
          <w:color w:val="00000A"/>
          <w:kern w:val="3"/>
          <w:szCs w:val="24"/>
          <w:lang w:val="ro-RO" w:eastAsia="zh-CN" w:bidi="hi-IN"/>
        </w:rPr>
      </w:pPr>
    </w:p>
    <w:p w:rsidR="00F24302" w:rsidRPr="00F24302" w:rsidRDefault="00F24302" w:rsidP="00F24302">
      <w:pPr>
        <w:tabs>
          <w:tab w:val="left" w:pos="0"/>
        </w:tabs>
        <w:spacing w:after="0" w:line="240" w:lineRule="auto"/>
        <w:ind w:firstLine="567"/>
        <w:jc w:val="both"/>
        <w:rPr>
          <w:rFonts w:ascii="Times New Roman" w:eastAsia="Times New Roman" w:hAnsi="Times New Roman"/>
          <w:sz w:val="24"/>
          <w:szCs w:val="24"/>
          <w:lang w:val="ro-RO"/>
        </w:rPr>
      </w:pPr>
      <w:r w:rsidRPr="00F24302">
        <w:rPr>
          <w:rFonts w:ascii="Times New Roman" w:eastAsia="Times New Roman" w:hAnsi="Times New Roman"/>
          <w:b/>
          <w:bCs/>
          <w:iCs/>
          <w:sz w:val="24"/>
          <w:szCs w:val="24"/>
          <w:u w:val="single"/>
          <w:lang w:val="ro-RO"/>
        </w:rPr>
        <w:t>Recomandări:</w:t>
      </w:r>
    </w:p>
    <w:p w:rsidR="00F24302" w:rsidRPr="00F24302" w:rsidRDefault="00F24302" w:rsidP="00F24302">
      <w:pPr>
        <w:pStyle w:val="a9"/>
        <w:numPr>
          <w:ilvl w:val="0"/>
          <w:numId w:val="20"/>
        </w:numPr>
        <w:tabs>
          <w:tab w:val="left" w:pos="0"/>
        </w:tabs>
        <w:ind w:left="0" w:firstLine="426"/>
        <w:jc w:val="both"/>
        <w:rPr>
          <w:lang w:val="ro-RO"/>
        </w:rPr>
      </w:pPr>
      <w:r w:rsidRPr="00F24302">
        <w:rPr>
          <w:rFonts w:eastAsia="Nimbus Sans L"/>
          <w:b/>
          <w:bCs/>
          <w:kern w:val="3"/>
          <w:lang w:val="ro-RO" w:eastAsia="zh-CN" w:bidi="hi-IN"/>
        </w:rPr>
        <w:t>Consiliul raional și preşedintele raionului Sîngerei</w:t>
      </w:r>
      <w:r w:rsidRPr="00F24302">
        <w:rPr>
          <w:rFonts w:eastAsia="Nimbus Sans L"/>
          <w:bCs/>
          <w:kern w:val="3"/>
          <w:lang w:val="ro-RO" w:eastAsia="zh-CN" w:bidi="hi-IN"/>
        </w:rPr>
        <w:t>, de comun cu autoritățile de resort, să aprobe măsuri organizatorice privind rolul fiecărei autorități de profil în elaborarea indicilor fiscal-bugetari, inclusiv de interacțiune a entităților respective</w:t>
      </w:r>
      <w:r w:rsidRPr="00F24302">
        <w:rPr>
          <w:rFonts w:eastAsia="Nimbus Sans L"/>
          <w:bCs/>
          <w:iCs/>
          <w:kern w:val="3"/>
          <w:lang w:val="ro-RO" w:eastAsia="zh-CN" w:bidi="hi-IN"/>
        </w:rPr>
        <w:t xml:space="preserve"> în subprocesul de evaluare/planificare bugetară, </w:t>
      </w:r>
      <w:r w:rsidRPr="00F24302">
        <w:rPr>
          <w:rFonts w:eastAsia="Nimbus Sans L"/>
          <w:bCs/>
          <w:kern w:val="3"/>
          <w:lang w:val="ro-RO" w:eastAsia="zh-CN" w:bidi="hi-IN"/>
        </w:rPr>
        <w:t>implementînd în acest sens modele analitice și proceduri tehnice aferente inventarierii materiei impozabile, cu stabilirea expresă a responsabilităților de rigoare.</w:t>
      </w:r>
    </w:p>
    <w:p w:rsidR="00F24302" w:rsidRPr="00F24302" w:rsidRDefault="00F24302" w:rsidP="00F24302">
      <w:pPr>
        <w:pStyle w:val="a9"/>
        <w:numPr>
          <w:ilvl w:val="0"/>
          <w:numId w:val="20"/>
        </w:numPr>
        <w:tabs>
          <w:tab w:val="left" w:pos="0"/>
        </w:tabs>
        <w:ind w:left="0" w:firstLine="426"/>
        <w:jc w:val="both"/>
        <w:rPr>
          <w:lang w:val="ro-RO"/>
        </w:rPr>
      </w:pPr>
      <w:r w:rsidRPr="00F24302">
        <w:rPr>
          <w:b/>
          <w:bCs/>
          <w:lang w:val="ro-RO"/>
        </w:rPr>
        <w:t xml:space="preserve">Preşedintele raionului, şeful DF, primăriile or.Sîngerei, Biruința şi satelor/comunelor Alexăndreni, Bălășești, Bilicenii Vechi, Bursuceni, Chișcăreni, Ciuciuieni, Copăceni, Coșcodeni, Cotiujenii Mici, Cubolta, Dobrogea Veche, Drăgănești, Dumbrăvița, Grigorăuca, Heciul Nou, Iezărenii Vechi, Izvoare, Pepeni, Prepelița, Rădoaia, Sîngereii Noi, Tăura Veche și Țambula: </w:t>
      </w:r>
    </w:p>
    <w:p w:rsidR="00F24302" w:rsidRPr="00F24302" w:rsidRDefault="00F24302" w:rsidP="00F24302">
      <w:pPr>
        <w:pStyle w:val="a9"/>
        <w:numPr>
          <w:ilvl w:val="1"/>
          <w:numId w:val="20"/>
        </w:numPr>
        <w:tabs>
          <w:tab w:val="left" w:pos="0"/>
          <w:tab w:val="left" w:pos="851"/>
        </w:tabs>
        <w:ind w:left="0" w:firstLine="426"/>
        <w:jc w:val="both"/>
        <w:rPr>
          <w:lang w:val="ro-RO"/>
        </w:rPr>
      </w:pPr>
      <w:r w:rsidRPr="00F24302">
        <w:rPr>
          <w:rFonts w:eastAsia="Nimbus Sans L"/>
          <w:bCs/>
          <w:kern w:val="3"/>
          <w:lang w:val="ro-RO" w:eastAsia="zh-CN" w:bidi="hi-IN"/>
        </w:rPr>
        <w:t>să dispună implementarea unor procese operaționale și proceduri eficiente ale sistemului de management financiar și control, care să asigure identificarea/evaluarea exhaustivă a bazei fiscale pentru fundamentarea prognozării/planificării conforme a veniturilor bugetare</w:t>
      </w:r>
      <w:r w:rsidRPr="00F24302">
        <w:rPr>
          <w:lang w:val="ro-RO"/>
        </w:rPr>
        <w:t>;</w:t>
      </w:r>
    </w:p>
    <w:p w:rsidR="00F24302" w:rsidRPr="00F24302" w:rsidRDefault="00F24302" w:rsidP="00F24302">
      <w:pPr>
        <w:pStyle w:val="a9"/>
        <w:numPr>
          <w:ilvl w:val="1"/>
          <w:numId w:val="20"/>
        </w:numPr>
        <w:tabs>
          <w:tab w:val="left" w:pos="0"/>
          <w:tab w:val="left" w:pos="851"/>
        </w:tabs>
        <w:ind w:left="0" w:firstLine="426"/>
        <w:jc w:val="both"/>
        <w:rPr>
          <w:lang w:val="ro-RO"/>
        </w:rPr>
      </w:pPr>
      <w:r w:rsidRPr="00F24302">
        <w:rPr>
          <w:rFonts w:eastAsia="Nimbus Sans L"/>
          <w:bCs/>
          <w:kern w:val="3"/>
          <w:lang w:val="ro-RO" w:eastAsia="zh-CN" w:bidi="hi-IN"/>
        </w:rPr>
        <w:lastRenderedPageBreak/>
        <w:t>să asigure evaluarea exhaustivă a persoanelor responsabile de încasarea impozitelor și taxelor, cu eficientizarea activității acestora și înlăturarea cauzelor care generează neacumularea conformă a veniturilor în bugetele locale.</w:t>
      </w:r>
    </w:p>
    <w:p w:rsidR="00F24302" w:rsidRPr="00F24302" w:rsidRDefault="00F24302" w:rsidP="00F24302">
      <w:pPr>
        <w:pStyle w:val="a9"/>
        <w:tabs>
          <w:tab w:val="left" w:pos="0"/>
        </w:tabs>
        <w:ind w:left="0"/>
        <w:jc w:val="both"/>
        <w:rPr>
          <w:lang w:val="ro-RO"/>
        </w:rPr>
      </w:pPr>
    </w:p>
    <w:p w:rsidR="00F24302" w:rsidRPr="00F24302" w:rsidRDefault="00F24302" w:rsidP="00F24302">
      <w:pPr>
        <w:widowControl w:val="0"/>
        <w:tabs>
          <w:tab w:val="left" w:pos="567"/>
        </w:tabs>
        <w:suppressAutoHyphens/>
        <w:autoSpaceDN w:val="0"/>
        <w:spacing w:after="0" w:line="240" w:lineRule="auto"/>
        <w:ind w:firstLine="567"/>
        <w:jc w:val="both"/>
        <w:textAlignment w:val="baseline"/>
        <w:rPr>
          <w:rFonts w:ascii="Times New Roman" w:eastAsia="Nimbus Sans L" w:hAnsi="Times New Roman"/>
          <w:b/>
          <w:bCs/>
          <w:i/>
          <w:iCs/>
          <w:kern w:val="3"/>
          <w:sz w:val="24"/>
          <w:szCs w:val="24"/>
          <w:u w:val="single"/>
          <w:lang w:val="ro-RO" w:eastAsia="zh-CN" w:bidi="hi-IN"/>
        </w:rPr>
      </w:pPr>
      <w:r w:rsidRPr="00F24302">
        <w:rPr>
          <w:rFonts w:ascii="Times New Roman" w:eastAsia="Nimbus Sans L" w:hAnsi="Times New Roman"/>
          <w:b/>
          <w:bCs/>
          <w:kern w:val="3"/>
          <w:sz w:val="24"/>
          <w:szCs w:val="24"/>
          <w:u w:val="single"/>
          <w:lang w:val="ro-RO" w:eastAsia="zh-CN" w:bidi="hi-IN"/>
        </w:rPr>
        <w:t>OBIECTIVUL II:</w:t>
      </w:r>
      <w:r w:rsidRPr="00F24302">
        <w:rPr>
          <w:rFonts w:ascii="Times New Roman" w:eastAsia="Nimbus Sans L" w:hAnsi="Times New Roman"/>
          <w:b/>
          <w:bCs/>
          <w:i/>
          <w:kern w:val="3"/>
          <w:sz w:val="24"/>
          <w:szCs w:val="24"/>
          <w:u w:val="single"/>
          <w:lang w:val="ro-RO" w:eastAsia="zh-CN" w:bidi="hi-IN"/>
        </w:rPr>
        <w:t xml:space="preserve"> </w:t>
      </w:r>
      <w:r w:rsidRPr="00F24302">
        <w:rPr>
          <w:rFonts w:ascii="Times New Roman" w:eastAsia="Nimbus Sans L" w:hAnsi="Times New Roman"/>
          <w:b/>
          <w:bCs/>
          <w:i/>
          <w:iCs/>
          <w:kern w:val="3"/>
          <w:sz w:val="24"/>
          <w:szCs w:val="24"/>
          <w:u w:val="single"/>
          <w:lang w:val="ro-RO" w:eastAsia="zh-CN" w:bidi="hi-IN"/>
        </w:rPr>
        <w:t>Au justificat AAPL angajarea și gestiunea cheltuielilor potrivit cadrului regulator și principiului de cost-eficiență?</w:t>
      </w:r>
    </w:p>
    <w:p w:rsidR="00F24302" w:rsidRPr="00F24302" w:rsidRDefault="00F24302" w:rsidP="00F24302">
      <w:pPr>
        <w:pStyle w:val="a3"/>
        <w:tabs>
          <w:tab w:val="left" w:pos="0"/>
          <w:tab w:val="left" w:pos="567"/>
        </w:tabs>
        <w:rPr>
          <w:szCs w:val="24"/>
          <w:lang w:val="ro-RO" w:eastAsia="en-US"/>
        </w:rPr>
      </w:pPr>
      <w:r w:rsidRPr="00F24302">
        <w:rPr>
          <w:szCs w:val="24"/>
          <w:lang w:val="ro-RO"/>
        </w:rPr>
        <w:t xml:space="preserve">Încălcările comise de factorii de decizie din cadrul AAPL (inclusiv din cadrul unor </w:t>
      </w:r>
      <w:r w:rsidRPr="00F24302">
        <w:rPr>
          <w:bCs/>
          <w:iCs/>
          <w:szCs w:val="24"/>
          <w:lang w:val="ro-RO"/>
        </w:rPr>
        <w:t xml:space="preserve">subdiviziuni </w:t>
      </w:r>
      <w:r w:rsidRPr="00F24302">
        <w:rPr>
          <w:szCs w:val="24"/>
          <w:lang w:val="ro-RO"/>
        </w:rPr>
        <w:t>subordonate</w:t>
      </w:r>
      <w:r w:rsidRPr="00F24302">
        <w:rPr>
          <w:bCs/>
          <w:iCs/>
          <w:szCs w:val="24"/>
          <w:lang w:val="ro-RO"/>
        </w:rPr>
        <w:t xml:space="preserve"> CR) </w:t>
      </w:r>
      <w:r w:rsidRPr="00F24302">
        <w:rPr>
          <w:szCs w:val="24"/>
          <w:lang w:val="ro-RO"/>
        </w:rPr>
        <w:t xml:space="preserve">supuse auditării au determinat efectuarea unor cheltuieli ineficiente, neregulamentare și contrar competențelor, </w:t>
      </w:r>
      <w:r w:rsidRPr="00F24302">
        <w:rPr>
          <w:szCs w:val="24"/>
          <w:lang w:val="ro-RO" w:eastAsia="en-US"/>
        </w:rPr>
        <w:t xml:space="preserve">care nu se încadrează în limitele prevederilor legal-normative. </w:t>
      </w:r>
      <w:r w:rsidRPr="00F24302">
        <w:rPr>
          <w:rFonts w:eastAsia="Times New Roman"/>
          <w:szCs w:val="24"/>
          <w:lang w:val="ro-RO"/>
        </w:rPr>
        <w:t>Prin urmare, cele menționate adeveresc un grad intolerant de disciplină financiar-bugetară, determinat de nivelul scăzut al controlului intern implementat și administrat de entitățile publice, al cărui rol este sporirea responsabilităților manageriale la gestionarea conformă și eficientă a resurselor publice.</w:t>
      </w:r>
      <w:r w:rsidRPr="00F24302">
        <w:rPr>
          <w:szCs w:val="24"/>
          <w:lang w:val="ro-RO" w:eastAsia="en-US"/>
        </w:rPr>
        <w:t xml:space="preserve"> </w:t>
      </w:r>
      <w:r w:rsidRPr="00F24302">
        <w:rPr>
          <w:rFonts w:eastAsia="Times New Roman"/>
          <w:szCs w:val="24"/>
          <w:lang w:val="ro-RO"/>
        </w:rPr>
        <w:t xml:space="preserve">Astfel, la nivelul autorităților publice din raion și al entităților publice subordonate a existat un șir de deficiențe în activitatea desfășurată, care au ținut de: retribuirea muncii; acordarea premiului anual persoanelor de demnitate publică și funcționarilor publici din veniturile obținute suplimentar la cele aprobate (rectificate); </w:t>
      </w:r>
      <w:r w:rsidRPr="00F24302">
        <w:rPr>
          <w:szCs w:val="24"/>
          <w:lang w:val="ro-RO"/>
        </w:rPr>
        <w:t xml:space="preserve">acordarea indemnizației unice la expirarea mandatului alesului local; </w:t>
      </w:r>
      <w:r w:rsidRPr="00F24302">
        <w:rPr>
          <w:rFonts w:eastAsia="Times New Roman"/>
          <w:szCs w:val="24"/>
          <w:lang w:val="ro-RO"/>
        </w:rPr>
        <w:t>respectarea destinațiilor și competențelor la efectuarea cheltuielilor; administrarea și gestionarea mijloacelor bugetare din fondul de rezervă; executarea cheltuielilor pentru investiții și reparații capitale; executarea procedurilor de achiziție publică; efectuarea cheltuielilor pentru amenajarea teritoriilor.</w:t>
      </w:r>
    </w:p>
    <w:p w:rsidR="00F24302" w:rsidRPr="00F24302" w:rsidRDefault="00F24302" w:rsidP="00F24302">
      <w:pPr>
        <w:pStyle w:val="a3"/>
        <w:tabs>
          <w:tab w:val="left" w:pos="0"/>
          <w:tab w:val="left" w:pos="567"/>
        </w:tabs>
        <w:spacing w:after="120"/>
        <w:rPr>
          <w:szCs w:val="24"/>
          <w:lang w:val="ro-RO" w:eastAsia="en-US"/>
        </w:rPr>
      </w:pPr>
      <w:r w:rsidRPr="00F24302">
        <w:rPr>
          <w:rFonts w:eastAsia="Times New Roman"/>
          <w:szCs w:val="24"/>
          <w:lang w:val="ro-RO"/>
        </w:rPr>
        <w:t>În contextul celor menționate, se exemplifică următoarele.</w:t>
      </w:r>
    </w:p>
    <w:p w:rsidR="00F24302" w:rsidRPr="00F24302" w:rsidRDefault="00F24302" w:rsidP="00F24302">
      <w:pPr>
        <w:pStyle w:val="a9"/>
        <w:numPr>
          <w:ilvl w:val="0"/>
          <w:numId w:val="12"/>
        </w:numPr>
        <w:tabs>
          <w:tab w:val="left" w:pos="0"/>
        </w:tabs>
        <w:spacing w:after="120"/>
        <w:ind w:left="0" w:firstLine="426"/>
        <w:jc w:val="both"/>
        <w:rPr>
          <w:lang w:val="ro-RO"/>
        </w:rPr>
      </w:pPr>
      <w:r w:rsidRPr="00F24302">
        <w:rPr>
          <w:b/>
          <w:bCs/>
          <w:i/>
          <w:iCs/>
          <w:lang w:val="ro-RO"/>
        </w:rPr>
        <w:t>Unele AAPL din raion nu au asigurat conformitatea aprobării cheltuielilor pentru fondul de salarizare și utilizarea regulamentară a mijloacelor bugetare aferente retribuirii muncii, fiind necesară eficientizarea sistemului de control intern aferent acestor procese bugetare.</w:t>
      </w:r>
      <w:r w:rsidRPr="00F24302">
        <w:rPr>
          <w:bCs/>
          <w:iCs/>
          <w:lang w:val="ro-RO"/>
        </w:rPr>
        <w:t xml:space="preserve"> Astfel,</w:t>
      </w:r>
    </w:p>
    <w:p w:rsidR="00F24302" w:rsidRPr="00F24302" w:rsidRDefault="00F24302" w:rsidP="00F24302">
      <w:pPr>
        <w:pStyle w:val="a9"/>
        <w:numPr>
          <w:ilvl w:val="0"/>
          <w:numId w:val="1"/>
        </w:numPr>
        <w:ind w:left="0" w:firstLine="426"/>
        <w:jc w:val="both"/>
        <w:rPr>
          <w:lang w:val="ro-RO"/>
        </w:rPr>
      </w:pPr>
      <w:r w:rsidRPr="00F24302">
        <w:rPr>
          <w:i/>
          <w:lang w:val="ro-RO"/>
        </w:rPr>
        <w:t xml:space="preserve"> </w:t>
      </w:r>
      <w:r w:rsidRPr="00F24302">
        <w:rPr>
          <w:lang w:val="ro-RO"/>
        </w:rPr>
        <w:t xml:space="preserve">probele de audit acumulate la compartimentul planificare denotă că procesul de aprobare a cheltuielilor bugetare pentru remunerarea muncii nu a întrunit, în unele cazuri, rigorile de conformitate, necesarul planificat nefiind bazat pe drepturile reale ale persoanelor efectiv angajate. </w:t>
      </w:r>
    </w:p>
    <w:p w:rsidR="00F24302" w:rsidRPr="00F24302" w:rsidRDefault="00F24302" w:rsidP="00F24302">
      <w:pPr>
        <w:pStyle w:val="a9"/>
        <w:tabs>
          <w:tab w:val="left" w:pos="567"/>
        </w:tabs>
        <w:spacing w:after="120"/>
        <w:ind w:left="0" w:firstLine="567"/>
        <w:jc w:val="both"/>
        <w:rPr>
          <w:lang w:val="ro-RO"/>
        </w:rPr>
      </w:pPr>
      <w:r w:rsidRPr="00F24302">
        <w:rPr>
          <w:lang w:val="ro-RO"/>
        </w:rPr>
        <w:t>Evaluarea managementului financiar al executării cheltuielilor bugetelor UAT prin prisma reglementărilor cadrului normativ a relevat că acest domeniu a fost afectat de nereguli și abateri de la normele legale. Prin urmare, l</w:t>
      </w:r>
      <w:r w:rsidRPr="00F24302">
        <w:rPr>
          <w:bCs/>
          <w:iCs/>
          <w:lang w:val="ro-RO"/>
        </w:rPr>
        <w:t>a aprobarea cheltuielilor pentru anul 2015, AAPL de nivelul II și subdiviziunile din subordinea CR</w:t>
      </w:r>
      <w:r w:rsidRPr="00F24302">
        <w:rPr>
          <w:rStyle w:val="a7"/>
          <w:bCs/>
          <w:iCs/>
          <w:lang w:val="ro-RO"/>
        </w:rPr>
        <w:footnoteReference w:id="33"/>
      </w:r>
      <w:r w:rsidRPr="00F24302">
        <w:rPr>
          <w:bCs/>
          <w:iCs/>
          <w:lang w:val="ro-RO"/>
        </w:rPr>
        <w:t xml:space="preserve"> (nerespectînd cadrul regulator</w:t>
      </w:r>
      <w:r w:rsidRPr="00F24302">
        <w:rPr>
          <w:rStyle w:val="a7"/>
          <w:lang w:val="ro-RO"/>
        </w:rPr>
        <w:footnoteReference w:id="34"/>
      </w:r>
      <w:r w:rsidRPr="00F24302">
        <w:rPr>
          <w:bCs/>
          <w:iCs/>
          <w:lang w:val="ro-RO"/>
        </w:rPr>
        <w:t xml:space="preserve">) au admis majorarea nejustificată a cheltuielilor pentru retribuirea muncii cu 81,3 mii lei, </w:t>
      </w:r>
      <w:r w:rsidRPr="00F24302">
        <w:rPr>
          <w:lang w:val="ro-RO"/>
        </w:rPr>
        <w:t>fiind creată o economie neîntemeiată de mijloace bugetare la capitolul salarizare. Astfel, aprobarea cheltuielilor atribuite la fondul anual de salarizare a fost efectuată cu unele deficiențe</w:t>
      </w:r>
      <w:r w:rsidRPr="00F24302">
        <w:rPr>
          <w:rStyle w:val="a7"/>
          <w:lang w:val="ro-RO"/>
        </w:rPr>
        <w:footnoteReference w:id="35"/>
      </w:r>
      <w:r w:rsidRPr="00F24302">
        <w:rPr>
          <w:lang w:val="ro-RO"/>
        </w:rPr>
        <w:t>, care s-au exprimat prin: planificarea incorectă a treptelor/gradelor de salarizare și sporului pentru gradul de calificare pentru funcțiile vacante și personalul angajat; planificarea incorectă a premiului anual pentru personalul de deservire;</w:t>
      </w:r>
    </w:p>
    <w:p w:rsidR="00F24302" w:rsidRPr="00F24302" w:rsidRDefault="00F24302" w:rsidP="00F24302">
      <w:pPr>
        <w:pStyle w:val="a9"/>
        <w:numPr>
          <w:ilvl w:val="0"/>
          <w:numId w:val="1"/>
        </w:numPr>
        <w:tabs>
          <w:tab w:val="left" w:pos="0"/>
        </w:tabs>
        <w:spacing w:after="120"/>
        <w:ind w:left="0" w:firstLine="426"/>
        <w:jc w:val="both"/>
        <w:rPr>
          <w:bCs/>
          <w:iCs/>
          <w:lang w:val="ro-RO"/>
        </w:rPr>
      </w:pPr>
      <w:r w:rsidRPr="00F24302">
        <w:rPr>
          <w:bCs/>
          <w:i/>
          <w:iCs/>
          <w:lang w:val="ro-RO"/>
        </w:rPr>
        <w:t xml:space="preserve"> </w:t>
      </w:r>
      <w:r w:rsidRPr="00F24302">
        <w:rPr>
          <w:bCs/>
          <w:iCs/>
          <w:lang w:val="ro-RO"/>
        </w:rPr>
        <w:t>cheltuielile curente pentru retribuirea muncii, executate de unele AAPL și unele subdiviziuni ale CR</w:t>
      </w:r>
      <w:r w:rsidRPr="00F24302">
        <w:rPr>
          <w:rStyle w:val="a7"/>
          <w:bCs/>
          <w:iCs/>
          <w:lang w:val="ro-RO"/>
        </w:rPr>
        <w:footnoteReference w:id="36"/>
      </w:r>
      <w:r w:rsidRPr="00F24302">
        <w:rPr>
          <w:bCs/>
          <w:iCs/>
          <w:lang w:val="ro-RO"/>
        </w:rPr>
        <w:t>, nu au întrunit rigorile cadrului legal-normativ</w:t>
      </w:r>
      <w:r w:rsidRPr="00F24302">
        <w:rPr>
          <w:rStyle w:val="a7"/>
          <w:bCs/>
          <w:iCs/>
          <w:lang w:val="ro-RO"/>
        </w:rPr>
        <w:footnoteReference w:id="37"/>
      </w:r>
      <w:r w:rsidRPr="00F24302">
        <w:rPr>
          <w:bCs/>
          <w:iCs/>
          <w:lang w:val="ro-RO"/>
        </w:rPr>
        <w:t xml:space="preserve">, fiind admise iregularități </w:t>
      </w:r>
      <w:r w:rsidRPr="00F24302">
        <w:rPr>
          <w:bCs/>
          <w:iCs/>
          <w:lang w:val="ro-RO"/>
        </w:rPr>
        <w:lastRenderedPageBreak/>
        <w:t>care s-au soldat cu cheltuieli neregulamentare în sumă totală de 195,7 mii lei. Prin urmare, deficiențele constatate</w:t>
      </w:r>
      <w:r w:rsidRPr="00F24302">
        <w:rPr>
          <w:rStyle w:val="a7"/>
          <w:lang w:val="ro-RO"/>
        </w:rPr>
        <w:footnoteReference w:id="38"/>
      </w:r>
      <w:r w:rsidRPr="00F24302">
        <w:rPr>
          <w:bCs/>
          <w:iCs/>
          <w:lang w:val="ro-RO"/>
        </w:rPr>
        <w:t xml:space="preserve"> la efectuarea cheltuielilor pentru retribuirea muncii de către </w:t>
      </w:r>
      <w:r w:rsidRPr="00F24302">
        <w:rPr>
          <w:lang w:val="ro-RO"/>
        </w:rPr>
        <w:t xml:space="preserve">entitățile menționate mai sus au condiționat achitarea neconformă a următoarelor plăți: </w:t>
      </w:r>
      <w:r w:rsidRPr="00F24302">
        <w:rPr>
          <w:color w:val="000000"/>
          <w:lang w:val="ro-RO"/>
        </w:rPr>
        <w:t>accesul la secretul de stat; premiul unic; suplimentul pentru cumulul funcției; sporul pentru performanță colectivă; premiul anual și cel lunar pentru personalul de deservire; plata pentru munca suplimentară; indemnizația pentru participare la ședințele consiliului local; indemnizația unică pentru funcționarul public la demisie (primar); remunerarea pentru îndeplinirea actelor notariale; sporul pentru gradul de calificare;</w:t>
      </w:r>
    </w:p>
    <w:p w:rsidR="00F24302" w:rsidRPr="00F24302" w:rsidRDefault="00F24302" w:rsidP="00F24302">
      <w:pPr>
        <w:pStyle w:val="a9"/>
        <w:numPr>
          <w:ilvl w:val="0"/>
          <w:numId w:val="1"/>
        </w:numPr>
        <w:tabs>
          <w:tab w:val="left" w:pos="0"/>
        </w:tabs>
        <w:ind w:left="0" w:firstLine="426"/>
        <w:jc w:val="both"/>
        <w:rPr>
          <w:bCs/>
          <w:iCs/>
          <w:lang w:val="ro-RO"/>
        </w:rPr>
      </w:pPr>
      <w:r w:rsidRPr="00F24302">
        <w:rPr>
          <w:lang w:val="ro-RO"/>
        </w:rPr>
        <w:t>acuratețea scăzută la raportarea informațiilor cu privire la datoriile creditoare cu termenul de achitare expirat de către unii executori de buget</w:t>
      </w:r>
      <w:r w:rsidRPr="00F24302">
        <w:rPr>
          <w:rStyle w:val="a7"/>
          <w:lang w:val="ro-RO"/>
        </w:rPr>
        <w:footnoteReference w:id="39"/>
      </w:r>
      <w:r w:rsidRPr="00F24302">
        <w:rPr>
          <w:lang w:val="ro-RO"/>
        </w:rPr>
        <w:t xml:space="preserve"> și neidentificarea de către consiliile locale a acestor obligațiuni financiare la audierea raportului privind executarea bugetelor locale, au determinat acordarea în mod neeligibil</w:t>
      </w:r>
      <w:r w:rsidRPr="00F24302">
        <w:rPr>
          <w:vertAlign w:val="superscript"/>
          <w:lang w:val="ro-RO"/>
        </w:rPr>
        <w:footnoteReference w:id="40"/>
      </w:r>
      <w:r w:rsidRPr="00F24302">
        <w:rPr>
          <w:lang w:val="ro-RO"/>
        </w:rPr>
        <w:t xml:space="preserve"> a premiului anual în 2015 pentru persoanele care dețin funcții de demnitate publică și funcționarii publici (69,0 unități), fiind admise cheltuieli neregulamentare din unele bugete de nivelurile I și II în sumă totală de 278,5 mii lei</w:t>
      </w:r>
      <w:r w:rsidRPr="00F24302">
        <w:rPr>
          <w:vertAlign w:val="superscript"/>
          <w:lang w:val="ro-RO"/>
        </w:rPr>
        <w:footnoteReference w:id="41"/>
      </w:r>
      <w:r w:rsidRPr="00F24302">
        <w:rPr>
          <w:lang w:val="ro-RO"/>
        </w:rPr>
        <w:t>.</w:t>
      </w:r>
    </w:p>
    <w:p w:rsidR="00F24302" w:rsidRPr="00F24302" w:rsidRDefault="00F24302" w:rsidP="00F24302">
      <w:pPr>
        <w:tabs>
          <w:tab w:val="left" w:pos="567"/>
        </w:tabs>
        <w:spacing w:after="0" w:line="240" w:lineRule="auto"/>
        <w:jc w:val="both"/>
        <w:rPr>
          <w:rFonts w:ascii="Times New Roman" w:hAnsi="Times New Roman"/>
          <w:sz w:val="24"/>
          <w:szCs w:val="24"/>
          <w:lang w:val="ro-RO"/>
        </w:rPr>
      </w:pPr>
      <w:r w:rsidRPr="00F24302">
        <w:rPr>
          <w:rFonts w:ascii="Times New Roman" w:hAnsi="Times New Roman"/>
          <w:sz w:val="24"/>
          <w:szCs w:val="24"/>
          <w:lang w:val="ro-RO"/>
        </w:rPr>
        <w:tab/>
        <w:t>Deși cerințele aprobate prin Ordinul ministrului Finanțelor nr.174 din 17.12.2014 (pct.12) reglementează procedura de constatare și descriere a datoriilor creditoare cu termenul de achitare expirat (în comparație cu 31 decembrie a anului bugetar precedent, cu explicarea cauzelor admiterii sau creșterii acestora și cu indicarea măsurilor întreprinse pentru diminuarea lor), ordonatorii de buget auditați nu au documentat această activitate în cadrul procesului de raportare privind executarea bugetului. Rapoartele privind executarea bugetului instituției bugetare din contul cheltuielilor din componenta de bază și mijloacele speciale (formularele nr.2 și nr.4) nu au inclus datele cu privire la datoriile creditoare cu termenul de achitare expirat și nu au fost supuse unor proceduri de control intern din partea executorilor de buget pentru a asigura autenticitatea lor. În acest context, misiunea de audit relevă că premiile anuale au fost acordate neregulamentar, în condițiile în care la 01.01.2015 au fost înregistrate datorii creditoare cu termenul de achitare expirat: AP – în sumă de 7492,3 mii lei (3 furnizori), DE – 47,9 mii lei (4 furnizori), primăria or.Sîngerei – 212,5 mii lei (2 furnizori), primăria com.Coșcodeni – 494,1 mii lei (1 furnizor), primăria com.Cubolta – 85,3 mii lei (3 furnizori);</w:t>
      </w:r>
    </w:p>
    <w:p w:rsidR="00F24302" w:rsidRPr="00F24302" w:rsidRDefault="00F24302" w:rsidP="00F24302">
      <w:pPr>
        <w:pStyle w:val="a9"/>
        <w:numPr>
          <w:ilvl w:val="0"/>
          <w:numId w:val="11"/>
        </w:numPr>
        <w:spacing w:after="120"/>
        <w:ind w:left="0" w:firstLine="426"/>
        <w:jc w:val="both"/>
        <w:rPr>
          <w:lang w:val="ro-RO"/>
        </w:rPr>
      </w:pPr>
      <w:r w:rsidRPr="00F24302">
        <w:rPr>
          <w:i/>
          <w:lang w:val="ro-RO"/>
        </w:rPr>
        <w:t xml:space="preserve"> </w:t>
      </w:r>
      <w:r w:rsidRPr="00F24302">
        <w:rPr>
          <w:lang w:val="ro-RO"/>
        </w:rPr>
        <w:t>unele autorități executive</w:t>
      </w:r>
      <w:r w:rsidRPr="00F24302">
        <w:rPr>
          <w:rStyle w:val="a7"/>
          <w:lang w:val="ro-RO"/>
        </w:rPr>
        <w:footnoteReference w:id="42"/>
      </w:r>
      <w:r w:rsidRPr="00F24302">
        <w:rPr>
          <w:lang w:val="ro-RO"/>
        </w:rPr>
        <w:t xml:space="preserve"> au aplicat incorect prevederile art.3 și art.17 din Legea nr.199 din 16.07.2010</w:t>
      </w:r>
      <w:r w:rsidRPr="00F24302">
        <w:rPr>
          <w:vertAlign w:val="superscript"/>
          <w:lang w:val="ro-RO"/>
        </w:rPr>
        <w:footnoteReference w:id="43"/>
      </w:r>
      <w:r w:rsidRPr="00F24302">
        <w:rPr>
          <w:lang w:val="ro-RO"/>
        </w:rPr>
        <w:t xml:space="preserve"> și art.25 alin.(1) din Legea nr.768-XIV din 02.02.2000 admițînd achitarea nejustificată persoanelor de demnitate publică și consilierilor locali a indemnizației unice la expirarea mandatului alesului local, în sumă totală de 32,2 mii lei</w:t>
      </w:r>
      <w:r w:rsidRPr="00F24302">
        <w:rPr>
          <w:rStyle w:val="a7"/>
          <w:lang w:val="ro-RO"/>
        </w:rPr>
        <w:footnoteReference w:id="44"/>
      </w:r>
      <w:r w:rsidRPr="00F24302">
        <w:rPr>
          <w:lang w:val="ro-RO"/>
        </w:rPr>
        <w:t>, în condițiile în care nu era corect pus în calcul salariul mediu lunar pe economia națională pentru anul precedent</w:t>
      </w:r>
      <w:r w:rsidRPr="00F24302">
        <w:rPr>
          <w:rStyle w:val="a7"/>
          <w:lang w:val="ro-RO"/>
        </w:rPr>
        <w:footnoteReference w:id="45"/>
      </w:r>
      <w:r w:rsidRPr="00F24302">
        <w:rPr>
          <w:lang w:val="ro-RO"/>
        </w:rPr>
        <w:t>. Astfel, autoritățile executive nominalizate au acordat indemnizația unică la expirarea mandatului alesului local peste limita normativă de 4172,0 lei, fiind luate în calcul, după caz, sumele de 4225,0 lei și de 4500,0 lei – pentru consilierii locali, și sumele în mărime de un salariu de funcție de 5200,0 lei și de 7500,0 lei – pentru persoanele de demnitate publică.</w:t>
      </w:r>
    </w:p>
    <w:p w:rsidR="00F24302" w:rsidRPr="00F24302" w:rsidRDefault="00F24302" w:rsidP="00F24302">
      <w:pPr>
        <w:pStyle w:val="a9"/>
        <w:ind w:left="567"/>
        <w:jc w:val="both"/>
        <w:rPr>
          <w:lang w:val="ro-RO"/>
        </w:rPr>
      </w:pPr>
    </w:p>
    <w:p w:rsidR="00F24302" w:rsidRPr="00F24302" w:rsidRDefault="00F24302" w:rsidP="00F24302">
      <w:pPr>
        <w:tabs>
          <w:tab w:val="left" w:pos="0"/>
        </w:tabs>
        <w:spacing w:after="0" w:line="240" w:lineRule="auto"/>
        <w:ind w:firstLine="567"/>
        <w:jc w:val="both"/>
        <w:rPr>
          <w:rFonts w:ascii="Times New Roman" w:hAnsi="Times New Roman"/>
          <w:b/>
          <w:sz w:val="24"/>
          <w:szCs w:val="24"/>
          <w:u w:val="single"/>
          <w:lang w:val="ro-RO"/>
        </w:rPr>
      </w:pPr>
      <w:r w:rsidRPr="00F24302">
        <w:rPr>
          <w:rFonts w:ascii="Times New Roman" w:hAnsi="Times New Roman"/>
          <w:b/>
          <w:sz w:val="24"/>
          <w:szCs w:val="24"/>
          <w:u w:val="single"/>
          <w:lang w:val="ro-RO"/>
        </w:rPr>
        <w:t>Recomandări:</w:t>
      </w:r>
    </w:p>
    <w:p w:rsidR="00F24302" w:rsidRPr="00F24302" w:rsidRDefault="00F24302" w:rsidP="00F24302">
      <w:pPr>
        <w:pStyle w:val="a9"/>
        <w:numPr>
          <w:ilvl w:val="0"/>
          <w:numId w:val="20"/>
        </w:numPr>
        <w:tabs>
          <w:tab w:val="left" w:pos="0"/>
        </w:tabs>
        <w:ind w:left="0" w:firstLine="426"/>
        <w:jc w:val="both"/>
        <w:rPr>
          <w:lang w:val="ro-RO"/>
        </w:rPr>
      </w:pPr>
      <w:r w:rsidRPr="00F24302">
        <w:rPr>
          <w:b/>
          <w:lang w:val="ro-RO"/>
        </w:rPr>
        <w:t>Președintele raionului, primarii or.Sîngerei, Biruința, comunelor/satelor Chișcăreni, Coșcodeni, Cubolta, Drăgănești, Rădoaia, Sîngereii Noi</w:t>
      </w:r>
      <w:r w:rsidRPr="00F24302">
        <w:rPr>
          <w:lang w:val="ro-RO"/>
        </w:rPr>
        <w:t xml:space="preserve"> să asigure respectarea cadrului legal-normativ în vigoare privind reglementarea domeniului retribuirea muncii, cu implementarea unui control intern adecvat care să asigure consolidarea </w:t>
      </w:r>
      <w:r w:rsidRPr="00F24302">
        <w:rPr>
          <w:bCs/>
          <w:lang w:val="ro-RO"/>
        </w:rPr>
        <w:t xml:space="preserve">disciplinei financiar-bugetare </w:t>
      </w:r>
      <w:r w:rsidRPr="00F24302">
        <w:rPr>
          <w:lang w:val="ro-RO"/>
        </w:rPr>
        <w:t>și întreprinderea măsurilor de rigoare pentru înlăturarea iregularităților constatate de audit.</w:t>
      </w:r>
    </w:p>
    <w:p w:rsidR="00F24302" w:rsidRPr="00F24302" w:rsidRDefault="00F24302" w:rsidP="00F24302">
      <w:pPr>
        <w:tabs>
          <w:tab w:val="left" w:pos="0"/>
        </w:tabs>
        <w:spacing w:after="0" w:line="240" w:lineRule="auto"/>
        <w:ind w:firstLine="567"/>
        <w:jc w:val="both"/>
        <w:rPr>
          <w:rFonts w:ascii="Times New Roman" w:hAnsi="Times New Roman"/>
          <w:sz w:val="24"/>
          <w:szCs w:val="24"/>
          <w:lang w:val="ro-RO"/>
        </w:rPr>
      </w:pPr>
    </w:p>
    <w:p w:rsidR="00F24302" w:rsidRPr="00F24302" w:rsidRDefault="00F24302" w:rsidP="00F24302">
      <w:pPr>
        <w:pStyle w:val="a9"/>
        <w:numPr>
          <w:ilvl w:val="0"/>
          <w:numId w:val="12"/>
        </w:numPr>
        <w:tabs>
          <w:tab w:val="left" w:pos="0"/>
        </w:tabs>
        <w:spacing w:after="120"/>
        <w:ind w:left="0" w:firstLine="426"/>
        <w:jc w:val="both"/>
        <w:rPr>
          <w:b/>
          <w:i/>
          <w:lang w:val="ro-RO"/>
        </w:rPr>
      </w:pPr>
      <w:r w:rsidRPr="00F24302">
        <w:rPr>
          <w:b/>
          <w:bCs/>
          <w:i/>
          <w:iCs/>
          <w:lang w:val="ro-RO"/>
        </w:rPr>
        <w:t>AAPL nu au asigurat utilizarea eficientă și regulamentară a mijloacelor bugetare aferente cheltuielilor curente</w:t>
      </w:r>
      <w:r w:rsidRPr="00F24302">
        <w:rPr>
          <w:lang w:val="ro-RO"/>
        </w:rPr>
        <w:t xml:space="preserve"> </w:t>
      </w:r>
      <w:r w:rsidRPr="00F24302">
        <w:rPr>
          <w:b/>
          <w:bCs/>
          <w:i/>
          <w:iCs/>
          <w:lang w:val="ro-RO"/>
        </w:rPr>
        <w:t>la diferite grupe funcționale, inclusiv precizate din contul soldului liber</w:t>
      </w:r>
      <w:r w:rsidRPr="00F24302">
        <w:rPr>
          <w:b/>
          <w:i/>
          <w:lang w:val="ro-RO"/>
        </w:rPr>
        <w:t xml:space="preserve"> format după închiderea anului bugetar anterior, totodată nefiind asigurate principiile de eficiență și legalitate în gestionarea finanțelor publice, reglementate prin prevederile art.4 alin.(3) din Legea nr.181 din 25.07.2014</w:t>
      </w:r>
      <w:r w:rsidRPr="00F24302">
        <w:rPr>
          <w:rStyle w:val="a7"/>
          <w:rFonts w:eastAsia="Nimbus Sans L"/>
          <w:b/>
          <w:i/>
          <w:color w:val="00000A"/>
          <w:kern w:val="3"/>
          <w:lang w:val="ro-RO" w:eastAsia="zh-CN" w:bidi="hi-IN"/>
        </w:rPr>
        <w:footnoteReference w:id="46"/>
      </w:r>
      <w:r w:rsidRPr="00F24302">
        <w:rPr>
          <w:b/>
          <w:i/>
          <w:lang w:val="ro-RO"/>
        </w:rPr>
        <w:t xml:space="preserve"> și art.4 din Legea nr.229 din 23.09.2010.</w:t>
      </w:r>
      <w:r w:rsidRPr="00F24302">
        <w:rPr>
          <w:lang w:val="ro-RO"/>
        </w:rPr>
        <w:t xml:space="preserve"> Astfel,</w:t>
      </w:r>
    </w:p>
    <w:p w:rsidR="00F24302" w:rsidRPr="00F24302" w:rsidRDefault="00F24302" w:rsidP="00F24302">
      <w:pPr>
        <w:pStyle w:val="a9"/>
        <w:numPr>
          <w:ilvl w:val="0"/>
          <w:numId w:val="10"/>
        </w:numPr>
        <w:tabs>
          <w:tab w:val="left" w:pos="0"/>
          <w:tab w:val="left" w:pos="567"/>
        </w:tabs>
        <w:ind w:left="0" w:firstLine="0"/>
        <w:jc w:val="both"/>
        <w:rPr>
          <w:lang w:val="ro-RO"/>
        </w:rPr>
      </w:pPr>
      <w:r w:rsidRPr="00F24302">
        <w:rPr>
          <w:i/>
          <w:lang w:val="ro-RO"/>
        </w:rPr>
        <w:t xml:space="preserve"> </w:t>
      </w:r>
      <w:r w:rsidRPr="00F24302">
        <w:rPr>
          <w:lang w:val="ro-RO"/>
        </w:rPr>
        <w:t>contrar normelor legale</w:t>
      </w:r>
      <w:r w:rsidRPr="00F24302">
        <w:rPr>
          <w:rStyle w:val="a7"/>
          <w:lang w:val="ro-RO"/>
        </w:rPr>
        <w:footnoteReference w:id="47"/>
      </w:r>
      <w:r w:rsidRPr="00F24302">
        <w:rPr>
          <w:lang w:val="ro-RO"/>
        </w:rPr>
        <w:t xml:space="preserve">, unele </w:t>
      </w:r>
      <w:r w:rsidRPr="00F24302">
        <w:rPr>
          <w:bCs/>
          <w:iCs/>
          <w:lang w:val="ro-RO"/>
        </w:rPr>
        <w:t>AAPL</w:t>
      </w:r>
      <w:r w:rsidRPr="00F24302">
        <w:rPr>
          <w:rStyle w:val="a7"/>
          <w:bCs/>
          <w:iCs/>
          <w:lang w:val="ro-RO"/>
        </w:rPr>
        <w:footnoteReference w:id="48"/>
      </w:r>
      <w:r w:rsidRPr="00F24302">
        <w:rPr>
          <w:lang w:val="ro-RO"/>
        </w:rPr>
        <w:t xml:space="preserve"> au admis efectuarea cheltuielilor neregulamentare în sumă totală de 421,2 mii lei, care nu au ținut de competența lor și care nu au fost destinate asigurării funcționării instituțiilor publice și serviciilor publice din cadrul UAT respective</w:t>
      </w:r>
      <w:r w:rsidRPr="00F24302">
        <w:rPr>
          <w:i/>
          <w:lang w:val="ro-RO"/>
        </w:rPr>
        <w:t xml:space="preserve">. </w:t>
      </w:r>
      <w:r w:rsidRPr="00F24302">
        <w:rPr>
          <w:lang w:val="ro-RO"/>
        </w:rPr>
        <w:t>Prin urmare, aceste cheltuieli neregulamentare, admise de 9 APL, au fost atribuite la următoarele finanțări</w:t>
      </w:r>
      <w:r w:rsidRPr="00F24302">
        <w:rPr>
          <w:rStyle w:val="a7"/>
          <w:lang w:val="ro-RO"/>
        </w:rPr>
        <w:footnoteReference w:id="49"/>
      </w:r>
      <w:r w:rsidRPr="00F24302">
        <w:rPr>
          <w:lang w:val="ro-RO"/>
        </w:rPr>
        <w:t>: procurarea cadourilor de Anul Nou; asigurarea alimentației în cadrul unor măsuri/manifestații organizate; susținerea materială a activității asociațiilor obștești; organizarea meselor comemorative; acordarea cadourilor pentru urători; premierea lucrătorilor din domeniul agriculturii; premierea conducătorilor agenților economici din domeniul agriculturii; acordarea cadourilor și premierea colaboratorilor de poliție; acordarea carburanților sectorului de poliție; acordarea cadourilor cu ocazia zilelor de sărbătoare; acordarea cadourilor foștilor lucrători din zootehnie; acordarea suportului financiar combatanților din Afganistan, participanților la luptele pentru apărarea integrității teritoriale și independenței Republicii Moldova, participanților la cel de-al doilea război mondial și participanților la lichidarea avariei de la Cernobîl; acordarea suportului financiar la înrolarea în Armata Națională etc. În acest context, se relevă că unele cheltuieli ce țin de înlesnirile menționate se finanțează din bugetul de stat sau din bugetul asigurărilor sociale: pentru combatanții din Afganistan, participanții la luptele pentru apărarea integrității teritoriale și independenței Republicii Moldova, participanții la cel de-al doilea război mondial și participanții la lichidarea avariei de la Cernobîl</w:t>
      </w:r>
      <w:r w:rsidRPr="00F24302">
        <w:rPr>
          <w:rStyle w:val="a7"/>
          <w:lang w:val="ro-RO"/>
        </w:rPr>
        <w:footnoteReference w:id="50"/>
      </w:r>
      <w:r w:rsidRPr="00F24302">
        <w:rPr>
          <w:lang w:val="ro-RO"/>
        </w:rPr>
        <w:t>; pentru întreținerea activității poliției</w:t>
      </w:r>
      <w:r w:rsidRPr="00F24302">
        <w:rPr>
          <w:rStyle w:val="a7"/>
          <w:lang w:val="ro-RO"/>
        </w:rPr>
        <w:footnoteReference w:id="51"/>
      </w:r>
      <w:r w:rsidRPr="00F24302">
        <w:rPr>
          <w:lang w:val="ro-RO"/>
        </w:rPr>
        <w:t>.</w:t>
      </w:r>
    </w:p>
    <w:p w:rsidR="00F24302" w:rsidRPr="00F24302" w:rsidRDefault="00F24302" w:rsidP="00F24302">
      <w:pPr>
        <w:pStyle w:val="a3"/>
        <w:tabs>
          <w:tab w:val="left" w:pos="0"/>
        </w:tabs>
        <w:spacing w:after="120"/>
        <w:rPr>
          <w:szCs w:val="24"/>
          <w:lang w:val="ro-RO"/>
        </w:rPr>
      </w:pPr>
      <w:r w:rsidRPr="00F24302">
        <w:rPr>
          <w:szCs w:val="24"/>
          <w:lang w:val="ro-RO"/>
        </w:rPr>
        <w:t>D</w:t>
      </w:r>
      <w:r w:rsidRPr="00F24302">
        <w:rPr>
          <w:rFonts w:eastAsia="Times New Roman"/>
          <w:bCs/>
          <w:iCs/>
          <w:szCs w:val="24"/>
          <w:lang w:val="ro-RO"/>
        </w:rPr>
        <w:t>eficiențele constatate la valorificarea mijloacelor bugetare din contul soldului liber</w:t>
      </w:r>
      <w:r w:rsidRPr="00F24302">
        <w:rPr>
          <w:szCs w:val="24"/>
          <w:lang w:val="ro-RO"/>
        </w:rPr>
        <w:t xml:space="preserve"> s-au exprimat prin: premierea a 3 posturi de poliție – 12,0 mii lei; stimularea materială a participanților la acțiunile de luptă din Afghanistan – 46,0 mii lei;</w:t>
      </w:r>
    </w:p>
    <w:p w:rsidR="00F24302" w:rsidRPr="00F24302" w:rsidRDefault="00F24302" w:rsidP="00F24302">
      <w:pPr>
        <w:numPr>
          <w:ilvl w:val="0"/>
          <w:numId w:val="19"/>
        </w:numPr>
        <w:tabs>
          <w:tab w:val="left" w:pos="0"/>
        </w:tabs>
        <w:spacing w:after="0" w:line="240" w:lineRule="auto"/>
        <w:ind w:left="0" w:firstLine="426"/>
        <w:contextualSpacing/>
        <w:jc w:val="both"/>
        <w:rPr>
          <w:rFonts w:ascii="Times New Roman" w:eastAsia="Times New Roman" w:hAnsi="Times New Roman"/>
          <w:sz w:val="24"/>
          <w:szCs w:val="24"/>
          <w:lang w:val="ro-RO" w:eastAsia="ru-RU"/>
        </w:rPr>
      </w:pPr>
      <w:r w:rsidRPr="00F24302">
        <w:rPr>
          <w:rFonts w:ascii="Times New Roman" w:eastAsia="Times New Roman" w:hAnsi="Times New Roman"/>
          <w:i/>
          <w:sz w:val="24"/>
          <w:szCs w:val="24"/>
          <w:lang w:val="ro-RO" w:eastAsia="ru-RU"/>
        </w:rPr>
        <w:t xml:space="preserve"> </w:t>
      </w:r>
      <w:r w:rsidRPr="00F24302">
        <w:rPr>
          <w:rFonts w:ascii="Times New Roman" w:eastAsia="Times New Roman" w:hAnsi="Times New Roman"/>
          <w:sz w:val="24"/>
          <w:szCs w:val="24"/>
          <w:lang w:val="ro-RO" w:eastAsia="ru-RU"/>
        </w:rPr>
        <w:t>CR și AP au administrat ineficient mijloacele financiare din fondul de rezervă. Nu au respectat caracterul excepțional și imprevizibil al cheltuielilor și au admis (în 2015) efectuarea unor cheltuieli cu abateri de la procedurile stabilite</w:t>
      </w:r>
      <w:r w:rsidRPr="00F24302">
        <w:rPr>
          <w:rFonts w:ascii="Times New Roman" w:eastAsia="Times New Roman" w:hAnsi="Times New Roman"/>
          <w:sz w:val="24"/>
          <w:szCs w:val="24"/>
          <w:vertAlign w:val="superscript"/>
          <w:lang w:val="ro-RO" w:eastAsia="ru-RU"/>
        </w:rPr>
        <w:footnoteReference w:id="52"/>
      </w:r>
      <w:r w:rsidRPr="00F24302">
        <w:rPr>
          <w:rFonts w:ascii="Times New Roman" w:eastAsia="Times New Roman" w:hAnsi="Times New Roman"/>
          <w:sz w:val="24"/>
          <w:szCs w:val="24"/>
          <w:lang w:val="ro-RO" w:eastAsia="ru-RU"/>
        </w:rPr>
        <w:t>, în sumă totală de 730,0 mii lei, și contrar destinației și competenței legale</w:t>
      </w:r>
      <w:r w:rsidRPr="00F24302">
        <w:rPr>
          <w:rFonts w:ascii="Times New Roman" w:eastAsia="Times New Roman" w:hAnsi="Times New Roman"/>
          <w:sz w:val="24"/>
          <w:szCs w:val="24"/>
          <w:vertAlign w:val="superscript"/>
          <w:lang w:val="ro-RO" w:eastAsia="ru-RU"/>
        </w:rPr>
        <w:footnoteReference w:id="53"/>
      </w:r>
      <w:r w:rsidRPr="00F24302">
        <w:rPr>
          <w:rFonts w:ascii="Times New Roman" w:eastAsia="Times New Roman" w:hAnsi="Times New Roman"/>
          <w:sz w:val="24"/>
          <w:szCs w:val="24"/>
          <w:lang w:val="ro-RO" w:eastAsia="ru-RU"/>
        </w:rPr>
        <w:t>, în sumă totală de 49,6 mii lei.</w:t>
      </w:r>
    </w:p>
    <w:p w:rsidR="00F24302" w:rsidRPr="00F24302" w:rsidRDefault="00F24302" w:rsidP="00F24302">
      <w:pPr>
        <w:spacing w:after="120" w:line="240" w:lineRule="auto"/>
        <w:ind w:firstLine="567"/>
        <w:jc w:val="both"/>
        <w:rPr>
          <w:rFonts w:ascii="Times New Roman" w:eastAsia="Times New Roman" w:hAnsi="Times New Roman"/>
          <w:sz w:val="24"/>
          <w:szCs w:val="24"/>
          <w:lang w:val="ro-RO" w:eastAsia="ru-RU"/>
        </w:rPr>
      </w:pPr>
      <w:r w:rsidRPr="00F24302">
        <w:rPr>
          <w:rFonts w:ascii="Times New Roman" w:eastAsia="Times New Roman" w:hAnsi="Times New Roman"/>
          <w:sz w:val="24"/>
          <w:szCs w:val="24"/>
          <w:lang w:val="ro-RO" w:eastAsia="ru-RU"/>
        </w:rPr>
        <w:t>Cazurile de efectuare a cheltuielilor contrar destinației și competenței legale de finanțare se referă la stimularea donatorilor de sînge – 49,6 mii lei, iar cele cu abateri de la procedura stabilită au fost admise la procurarea carburanților pentru Secția Situații Excepționale Sîngerei – 20,0 mii lei, și susținerea financiară a posturilor de pompieri din com. Drăgănești – 355,0 mii lei, și com. Chișcăreni – 355,0 mii lei;</w:t>
      </w:r>
    </w:p>
    <w:p w:rsidR="00F24302" w:rsidRPr="00F24302" w:rsidRDefault="00F24302" w:rsidP="00F24302">
      <w:pPr>
        <w:pStyle w:val="a9"/>
        <w:numPr>
          <w:ilvl w:val="0"/>
          <w:numId w:val="11"/>
        </w:numPr>
        <w:ind w:left="0" w:firstLine="426"/>
        <w:jc w:val="both"/>
        <w:rPr>
          <w:iCs/>
          <w:lang w:val="ro-RO"/>
        </w:rPr>
      </w:pPr>
      <w:r w:rsidRPr="00F24302">
        <w:rPr>
          <w:i/>
          <w:iCs/>
          <w:lang w:val="ro-RO"/>
        </w:rPr>
        <w:lastRenderedPageBreak/>
        <w:t xml:space="preserve"> </w:t>
      </w:r>
      <w:r w:rsidRPr="00F24302">
        <w:rPr>
          <w:iCs/>
          <w:lang w:val="ro-RO"/>
        </w:rPr>
        <w:t xml:space="preserve">activitatea de angajare a lucrărilor de amenajare a teritoriului de către primăria or.Sîngerei este afectată de iregularități și riscuri la compartimentul autenticitatea lucrărilor efectiv executate, care sînt determinate de lipsa indicilor cantitativi în actele de recepție a lucrărilor, de neaplicarea și nedocumentarea procedurii de verificare a volumului de lucrări facturate de ÎM. </w:t>
      </w:r>
      <w:r w:rsidRPr="00F24302">
        <w:rPr>
          <w:lang w:val="ro-RO"/>
        </w:rPr>
        <w:t>Deși la semnarea contractului de achiziție a lucrărilor de amenajare a teritoriului ÎM prezintă calcule ce sînt luate în considerare de către primăria or.Sîngerei, pînă în prezent această primărie nu are elaborate normative privind planificarea cheltuielilor pentru salubrizarea și amenajarea teritoriilor, bazate pe cantitatea și frecvența lucrărilor ce urmează a fi executate. Totodată, în pofida faptului că întreprinderea municipală a prezentat lunar actele de recepție a lucrărilor executate, în majoritatea cazurilor acestea nu conțin date concrete cu privire la conținutul operațiunii economice, condiție care este stabilită conform prescripțiilor pct.9 din Instrucțiunea aprobată prin Ordinul ministrului Finanțelor nr.94 din 19.07.2010. Astfel, cu excepția serviciilor de evacuare a deșeurilor solide de la instituțiile publice (art.113.35), care au fost confirmate prin adeverința contrasemnată de conducătorii acestor entități, executarea lucrărilor de amenajare a teritoriului (996,4 mii lei – măturatul străzilor, acumularea și transportarea gunoiului etc.) nu a fost confirmată prin anumiți indici cantitativi (locul, strada pe care au fost efectuate lucrările, volumul deșeurilor menajere acumulate și transportate).</w:t>
      </w:r>
    </w:p>
    <w:p w:rsidR="00F24302" w:rsidRPr="00F24302" w:rsidRDefault="00F24302" w:rsidP="00F24302">
      <w:pPr>
        <w:tabs>
          <w:tab w:val="left" w:pos="426"/>
        </w:tabs>
        <w:spacing w:after="0" w:line="240" w:lineRule="auto"/>
        <w:jc w:val="both"/>
        <w:rPr>
          <w:rFonts w:ascii="Times New Roman" w:hAnsi="Times New Roman"/>
          <w:sz w:val="24"/>
          <w:szCs w:val="24"/>
          <w:lang w:val="ro-RO"/>
        </w:rPr>
      </w:pPr>
    </w:p>
    <w:p w:rsidR="00F24302" w:rsidRPr="00F24302" w:rsidRDefault="00F24302" w:rsidP="00F24302">
      <w:pPr>
        <w:numPr>
          <w:ilvl w:val="0"/>
          <w:numId w:val="13"/>
        </w:numPr>
        <w:tabs>
          <w:tab w:val="left" w:pos="0"/>
        </w:tabs>
        <w:spacing w:after="0" w:line="240" w:lineRule="auto"/>
        <w:ind w:left="0" w:firstLine="426"/>
        <w:contextualSpacing/>
        <w:jc w:val="both"/>
        <w:rPr>
          <w:rFonts w:ascii="Times New Roman" w:eastAsia="Times New Roman" w:hAnsi="Times New Roman"/>
          <w:b/>
          <w:bCs/>
          <w:i/>
          <w:iCs/>
          <w:sz w:val="24"/>
          <w:szCs w:val="24"/>
          <w:lang w:val="ro-RO"/>
        </w:rPr>
      </w:pPr>
      <w:r w:rsidRPr="00F24302">
        <w:rPr>
          <w:rFonts w:ascii="Times New Roman" w:eastAsia="Times New Roman" w:hAnsi="Times New Roman"/>
          <w:b/>
          <w:bCs/>
          <w:i/>
          <w:iCs/>
          <w:sz w:val="24"/>
          <w:szCs w:val="24"/>
          <w:lang w:val="ro-RO"/>
        </w:rPr>
        <w:t>Managementul defectuos la valorificarea mijloacelor financiare pentru investițiile și reparațiile capitale a determinat suportarea unor cheltuieli neconforme.</w:t>
      </w:r>
    </w:p>
    <w:p w:rsidR="00F24302" w:rsidRPr="00F24302" w:rsidRDefault="00F24302" w:rsidP="00F24302">
      <w:pPr>
        <w:spacing w:after="0" w:line="240" w:lineRule="auto"/>
        <w:ind w:firstLine="567"/>
        <w:jc w:val="both"/>
        <w:rPr>
          <w:rFonts w:ascii="Times New Roman" w:eastAsia="Times New Roman" w:hAnsi="Times New Roman"/>
          <w:sz w:val="24"/>
          <w:szCs w:val="24"/>
          <w:lang w:val="ro-RO" w:eastAsia="ru-RU"/>
        </w:rPr>
      </w:pPr>
      <w:r w:rsidRPr="00F24302">
        <w:rPr>
          <w:rFonts w:ascii="Times New Roman" w:eastAsia="Times New Roman" w:hAnsi="Times New Roman"/>
          <w:sz w:val="24"/>
          <w:szCs w:val="24"/>
          <w:lang w:val="ro-RO" w:eastAsia="ru-RU"/>
        </w:rPr>
        <w:t xml:space="preserve">În perioada supusă auditului, din contul bugetelor UAT, precum și din contul Fondului Ecologic Național au fost valorificate mijloace bugetare pentru investiții și reparații capitale în sumă totală de 53,5 mil.lei, inclusiv 28,1 mil.lei – pentru investiții capitale, și 25,4 mil.lei – pentru reparații capitale. </w:t>
      </w:r>
      <w:r w:rsidRPr="00F24302">
        <w:rPr>
          <w:rFonts w:ascii="Times New Roman" w:eastAsia="MS Mincho" w:hAnsi="Times New Roman"/>
          <w:sz w:val="24"/>
          <w:szCs w:val="24"/>
          <w:lang w:val="ro-RO" w:eastAsia="ja-JP"/>
        </w:rPr>
        <w:t>În același timp, în perioada 2013-2016 CR a beneficiat de un grant din partea UE pentru implementarea Proiectului „Dezvoltarea sectorului agricol prin crearea unei rețele transfrontaliere în domeniul agriculturii”, în valoare totală de 2,4 mil. euro.</w:t>
      </w:r>
    </w:p>
    <w:p w:rsidR="00F24302" w:rsidRPr="00F24302" w:rsidRDefault="00F24302" w:rsidP="00F24302">
      <w:pPr>
        <w:spacing w:after="0" w:line="240" w:lineRule="auto"/>
        <w:ind w:firstLine="567"/>
        <w:jc w:val="both"/>
        <w:rPr>
          <w:rFonts w:ascii="Times New Roman" w:eastAsia="Times New Roman" w:hAnsi="Times New Roman"/>
          <w:sz w:val="24"/>
          <w:szCs w:val="24"/>
          <w:lang w:val="ro-RO"/>
        </w:rPr>
      </w:pPr>
      <w:r w:rsidRPr="00F24302">
        <w:rPr>
          <w:rFonts w:ascii="Times New Roman" w:eastAsia="Times New Roman" w:hAnsi="Times New Roman"/>
          <w:sz w:val="24"/>
          <w:szCs w:val="24"/>
          <w:lang w:val="ro-RO"/>
        </w:rPr>
        <w:t xml:space="preserve">Verificările efectuate în cadrul misiunii de audit relevă deficiențe în alocarea și utilizarea mijloacelor pentru investiții și reparații capitale la unele AAPL în sumă totală de 11,3 mil.lei, acestea fiind condiționate de faptul că: CR nu are stabilite priorități în domeniul investițiilor capitale; unele AAPL din raion au </w:t>
      </w:r>
      <w:r w:rsidRPr="00F24302">
        <w:rPr>
          <w:rFonts w:ascii="Times New Roman" w:eastAsia="Times New Roman" w:hAnsi="Times New Roman"/>
          <w:bCs/>
          <w:iCs/>
          <w:sz w:val="24"/>
          <w:szCs w:val="24"/>
          <w:lang w:val="ro-RO"/>
        </w:rPr>
        <w:t>admis recepționarea lucrărilor care efectiv nu au fost executate;</w:t>
      </w:r>
      <w:r w:rsidRPr="00F24302">
        <w:rPr>
          <w:rFonts w:ascii="Times New Roman" w:eastAsia="Times New Roman" w:hAnsi="Times New Roman"/>
          <w:sz w:val="24"/>
          <w:szCs w:val="24"/>
          <w:lang w:val="ro-RO"/>
        </w:rPr>
        <w:t xml:space="preserve"> nu a fost asigurată executarea lucrărilor sub formă de garanții de bună execuție a contractelor; </w:t>
      </w:r>
      <w:r w:rsidRPr="00F24302">
        <w:rPr>
          <w:rFonts w:ascii="Times New Roman" w:hAnsi="Times New Roman"/>
          <w:sz w:val="24"/>
          <w:szCs w:val="24"/>
          <w:lang w:val="ro-RO" w:eastAsia="ko-KR"/>
        </w:rPr>
        <w:t xml:space="preserve">nu au fost </w:t>
      </w:r>
      <w:r w:rsidRPr="00F24302">
        <w:rPr>
          <w:rFonts w:ascii="Times New Roman" w:hAnsi="Times New Roman"/>
          <w:sz w:val="24"/>
          <w:szCs w:val="24"/>
          <w:lang w:val="ro-RO"/>
        </w:rPr>
        <w:t xml:space="preserve"> respectate exigențele privind asigurarea calității în construcții;</w:t>
      </w:r>
      <w:r w:rsidRPr="00F24302">
        <w:rPr>
          <w:rFonts w:ascii="Times New Roman" w:eastAsia="Times New Roman" w:hAnsi="Times New Roman"/>
          <w:sz w:val="24"/>
          <w:szCs w:val="24"/>
          <w:lang w:val="ro-RO"/>
        </w:rPr>
        <w:t xml:space="preserve"> au fost admise modificări ale elementelor contractuale;</w:t>
      </w:r>
      <w:r w:rsidRPr="00F24302">
        <w:rPr>
          <w:rFonts w:ascii="Times New Roman" w:eastAsia="Times New Roman" w:hAnsi="Times New Roman"/>
          <w:bCs/>
          <w:iCs/>
          <w:sz w:val="24"/>
          <w:szCs w:val="24"/>
          <w:lang w:val="ro-RO"/>
        </w:rPr>
        <w:t xml:space="preserve"> au fost executate cheltuieli neeficiente și neregulamentare.</w:t>
      </w:r>
    </w:p>
    <w:p w:rsidR="00F24302" w:rsidRPr="00F24302" w:rsidRDefault="00F24302" w:rsidP="00F24302">
      <w:pPr>
        <w:spacing w:after="120" w:line="240" w:lineRule="auto"/>
        <w:ind w:firstLine="720"/>
        <w:contextualSpacing/>
        <w:jc w:val="both"/>
        <w:rPr>
          <w:rFonts w:ascii="Times New Roman" w:eastAsia="Times New Roman" w:hAnsi="Times New Roman"/>
          <w:bCs/>
          <w:iCs/>
          <w:sz w:val="24"/>
          <w:szCs w:val="24"/>
          <w:lang w:val="ro-RO"/>
        </w:rPr>
      </w:pPr>
      <w:r w:rsidRPr="00F24302">
        <w:rPr>
          <w:rFonts w:ascii="Times New Roman" w:eastAsia="Times New Roman" w:hAnsi="Times New Roman"/>
          <w:bCs/>
          <w:iCs/>
          <w:sz w:val="24"/>
          <w:szCs w:val="24"/>
          <w:lang w:val="ro-RO"/>
        </w:rPr>
        <w:t>În susținerea celor consemnate, se exemplifică următoarele.</w:t>
      </w:r>
    </w:p>
    <w:p w:rsidR="00F24302" w:rsidRPr="00F24302" w:rsidRDefault="00F24302" w:rsidP="00F24302">
      <w:pPr>
        <w:spacing w:after="120" w:line="240" w:lineRule="auto"/>
        <w:ind w:firstLine="720"/>
        <w:contextualSpacing/>
        <w:jc w:val="both"/>
        <w:rPr>
          <w:rFonts w:ascii="Times New Roman" w:eastAsia="Times New Roman" w:hAnsi="Times New Roman"/>
          <w:bCs/>
          <w:iCs/>
          <w:sz w:val="24"/>
          <w:szCs w:val="24"/>
          <w:lang w:val="ro-RO"/>
        </w:rPr>
      </w:pPr>
    </w:p>
    <w:p w:rsidR="00F24302" w:rsidRPr="00F24302" w:rsidRDefault="00F24302" w:rsidP="00F24302">
      <w:pPr>
        <w:numPr>
          <w:ilvl w:val="0"/>
          <w:numId w:val="14"/>
        </w:numPr>
        <w:spacing w:after="0" w:line="240" w:lineRule="auto"/>
        <w:ind w:left="0" w:firstLine="426"/>
        <w:contextualSpacing/>
        <w:jc w:val="both"/>
        <w:rPr>
          <w:rFonts w:ascii="Times New Roman" w:hAnsi="Times New Roman"/>
          <w:i/>
          <w:sz w:val="24"/>
          <w:szCs w:val="24"/>
          <w:lang w:val="ro-RO"/>
        </w:rPr>
      </w:pPr>
      <w:r w:rsidRPr="00F24302">
        <w:rPr>
          <w:rFonts w:ascii="Times New Roman" w:hAnsi="Times New Roman"/>
          <w:i/>
          <w:sz w:val="24"/>
          <w:szCs w:val="24"/>
          <w:lang w:val="ro-RO"/>
        </w:rPr>
        <w:t xml:space="preserve">Analiza oportunității și prioritizarea lucrărilor de investiții capitale s-au efectuat în lipsa unor criterii clare, ce ar fi asigurat cheltuirea banilor publici în condiții de eficiență și eficacitate. </w:t>
      </w:r>
      <w:r w:rsidRPr="00F24302">
        <w:rPr>
          <w:rFonts w:ascii="Times New Roman" w:hAnsi="Times New Roman"/>
          <w:iCs/>
          <w:sz w:val="24"/>
          <w:szCs w:val="24"/>
          <w:lang w:val="ro-RO"/>
        </w:rPr>
        <w:t xml:space="preserve">Astfel, </w:t>
      </w:r>
      <w:r w:rsidRPr="00F24302">
        <w:rPr>
          <w:rFonts w:ascii="Times New Roman" w:hAnsi="Times New Roman"/>
          <w:sz w:val="24"/>
          <w:szCs w:val="24"/>
          <w:lang w:val="ro-RO"/>
        </w:rPr>
        <w:t>la situația din 01.01.2016, costul de deviz al lucrărilor de investiții capitale pentru 16 obiecte, începute în anii precedenți și nefinalizate, a constituit 187,0 mil.lei. Potrivit documentației de proiect, pentru finalizarea acestor obiective sînt necesare mijloace financiare estimate în sumă de 135,3 mil.lei.</w:t>
      </w:r>
    </w:p>
    <w:p w:rsidR="00F24302" w:rsidRPr="00F24302" w:rsidRDefault="00F24302" w:rsidP="00F24302">
      <w:pPr>
        <w:spacing w:after="120" w:line="240" w:lineRule="auto"/>
        <w:ind w:firstLine="567"/>
        <w:contextualSpacing/>
        <w:jc w:val="both"/>
        <w:rPr>
          <w:rFonts w:ascii="Times New Roman" w:eastAsia="Times New Roman" w:hAnsi="Times New Roman"/>
          <w:sz w:val="24"/>
          <w:szCs w:val="24"/>
          <w:lang w:val="ro-RO"/>
        </w:rPr>
      </w:pPr>
      <w:r w:rsidRPr="00F24302">
        <w:rPr>
          <w:rFonts w:ascii="Times New Roman" w:hAnsi="Times New Roman"/>
          <w:sz w:val="24"/>
          <w:szCs w:val="24"/>
          <w:lang w:val="ro-RO"/>
        </w:rPr>
        <w:t xml:space="preserve">Un exemplu elocvent care relevă lipsa criteriilor la analiza oportunității și prioritizării lucrărilor de investiții de către CR sînt lucrările de construcție a traseului de aprovizionare cu apă potabilă centralizat, din conducta Soroca-Bălți-Sîngerei, precum și construcția rețelelor de apeduct și canalizare în localitățile raionului. Astfel, cu toate că (în perioada 2012-2015) AAPL au executat documentația de proiect pentru 11 obiective, beneficiind pentru acestea de mijloace financiare din bugetul de stat și cel local în sumă totală de 45,1 mil.lei, totuși la moment nici un proiect nu a fost finalizat integral și, respectiv, nici unui utilizator nu i-a fost livrată apă potabilă. Pentru finalizarea acestor obiective sînt necesare mijloace financiare în sumă totală de 103,8 mil.lei, care pînă la moment nu au fost identificate, iar </w:t>
      </w:r>
      <w:r w:rsidRPr="00F24302">
        <w:rPr>
          <w:rFonts w:ascii="Times New Roman" w:eastAsia="Times New Roman" w:hAnsi="Times New Roman"/>
          <w:sz w:val="24"/>
          <w:szCs w:val="24"/>
          <w:lang w:val="ro-RO"/>
        </w:rPr>
        <w:t>tergiversarea finanțării acestor obiecte condiționează degradarea fizică și morală a lor.</w:t>
      </w:r>
    </w:p>
    <w:p w:rsidR="00F24302" w:rsidRPr="00F24302" w:rsidRDefault="00F24302" w:rsidP="00F24302">
      <w:pPr>
        <w:spacing w:after="0" w:line="240" w:lineRule="auto"/>
        <w:ind w:firstLine="567"/>
        <w:contextualSpacing/>
        <w:jc w:val="both"/>
        <w:rPr>
          <w:rFonts w:ascii="Times New Roman" w:hAnsi="Times New Roman"/>
          <w:sz w:val="24"/>
          <w:szCs w:val="24"/>
          <w:lang w:val="ro-RO"/>
        </w:rPr>
      </w:pPr>
    </w:p>
    <w:p w:rsidR="00F24302" w:rsidRPr="00F24302" w:rsidRDefault="00F24302" w:rsidP="00F24302">
      <w:pPr>
        <w:numPr>
          <w:ilvl w:val="0"/>
          <w:numId w:val="15"/>
        </w:numPr>
        <w:spacing w:after="0" w:line="240" w:lineRule="auto"/>
        <w:ind w:left="0" w:firstLine="426"/>
        <w:contextualSpacing/>
        <w:jc w:val="both"/>
        <w:rPr>
          <w:rFonts w:ascii="Times New Roman" w:eastAsia="Times New Roman" w:hAnsi="Times New Roman"/>
          <w:sz w:val="24"/>
          <w:szCs w:val="24"/>
          <w:lang w:val="ro-RO"/>
        </w:rPr>
      </w:pPr>
      <w:r w:rsidRPr="00F24302">
        <w:rPr>
          <w:rFonts w:ascii="Times New Roman" w:eastAsia="Times New Roman" w:hAnsi="Times New Roman"/>
          <w:bCs/>
          <w:i/>
          <w:iCs/>
          <w:sz w:val="24"/>
          <w:szCs w:val="24"/>
          <w:lang w:val="ro-RO"/>
        </w:rPr>
        <w:lastRenderedPageBreak/>
        <w:t>AAPL din raionul Sîngerei nu au reușit să mențină cheltuielile angajate în limitele maxime aprobate.</w:t>
      </w:r>
      <w:r w:rsidRPr="00F24302">
        <w:rPr>
          <w:rFonts w:ascii="Times New Roman" w:eastAsia="Times New Roman" w:hAnsi="Times New Roman"/>
          <w:sz w:val="24"/>
          <w:szCs w:val="24"/>
          <w:lang w:val="ro-RO"/>
        </w:rPr>
        <w:t xml:space="preserve"> Astfel, potrivit prevederilor legale</w:t>
      </w:r>
      <w:r w:rsidRPr="00F24302">
        <w:rPr>
          <w:rFonts w:ascii="Times New Roman" w:eastAsia="Times New Roman" w:hAnsi="Times New Roman"/>
          <w:sz w:val="24"/>
          <w:szCs w:val="24"/>
          <w:vertAlign w:val="superscript"/>
          <w:lang w:val="ro-RO"/>
        </w:rPr>
        <w:footnoteReference w:id="54"/>
      </w:r>
      <w:r w:rsidRPr="00F24302">
        <w:rPr>
          <w:rFonts w:ascii="Times New Roman" w:eastAsia="Times New Roman" w:hAnsi="Times New Roman"/>
          <w:sz w:val="24"/>
          <w:szCs w:val="24"/>
          <w:lang w:val="ro-RO"/>
        </w:rPr>
        <w:t>, cheltuielile aprobate (rectificate pe parcursul anului bugetar) în bugetele UAT reprezintă limite maxime care nu pot fi depășite, iar contractarea de lucrări, servicii, bunuri materiale și efectuarea de cheltuieli se realizează de către executorii (ordonatorii) de buget doar cu respectarea prevederilor legale și în cadrul limitelor aprobate (rectificate). Însă, 6 entități din raion nu s-au conformat prevederilor menționate și au admis depășirea nivelului cheltuielilor capitale stabilite cu suma totală de 5,9 mil.lei</w:t>
      </w:r>
      <w:r w:rsidRPr="00F24302">
        <w:rPr>
          <w:rFonts w:ascii="Times New Roman" w:eastAsia="Times New Roman" w:hAnsi="Times New Roman"/>
          <w:sz w:val="24"/>
          <w:szCs w:val="24"/>
          <w:vertAlign w:val="superscript"/>
          <w:lang w:val="ro-RO"/>
        </w:rPr>
        <w:footnoteReference w:id="55"/>
      </w:r>
      <w:r w:rsidRPr="00F24302">
        <w:rPr>
          <w:rFonts w:ascii="Times New Roman" w:eastAsia="Times New Roman" w:hAnsi="Times New Roman"/>
          <w:sz w:val="24"/>
          <w:szCs w:val="24"/>
          <w:lang w:val="ro-RO"/>
        </w:rPr>
        <w:t>. Acest fapt a determinat înregistrarea la sfîrşit de an a datoriilor creditoare și riscul unor pretenții financiare din partea creditorilor, precum și generarea unor cheltuieli suplimentare de judecată. În acest context, se menționează faptul că un agent economic a acționat în instanța de judecată primăria com. Alexăndreni pentru neachitarea datoriei creditoare pentru lucrările executate în valoare de 98,2 mii lei.</w:t>
      </w:r>
    </w:p>
    <w:p w:rsidR="00F24302" w:rsidRPr="00F24302" w:rsidRDefault="00F24302" w:rsidP="00F24302">
      <w:pPr>
        <w:spacing w:after="0" w:line="240" w:lineRule="auto"/>
        <w:jc w:val="both"/>
        <w:rPr>
          <w:rFonts w:ascii="Times New Roman" w:eastAsia="Times New Roman" w:hAnsi="Times New Roman"/>
          <w:sz w:val="24"/>
          <w:szCs w:val="24"/>
          <w:lang w:val="ro-RO"/>
        </w:rPr>
      </w:pPr>
    </w:p>
    <w:p w:rsidR="00F24302" w:rsidRPr="00F24302" w:rsidRDefault="00F24302" w:rsidP="00F24302">
      <w:pPr>
        <w:numPr>
          <w:ilvl w:val="0"/>
          <w:numId w:val="16"/>
        </w:numPr>
        <w:tabs>
          <w:tab w:val="left" w:pos="0"/>
        </w:tabs>
        <w:spacing w:after="0" w:line="240" w:lineRule="auto"/>
        <w:ind w:left="0" w:firstLine="426"/>
        <w:contextualSpacing/>
        <w:jc w:val="both"/>
        <w:rPr>
          <w:rFonts w:ascii="Times New Roman" w:hAnsi="Times New Roman"/>
          <w:bCs/>
          <w:i/>
          <w:sz w:val="24"/>
          <w:szCs w:val="24"/>
          <w:lang w:val="ro-RO"/>
        </w:rPr>
      </w:pPr>
      <w:r w:rsidRPr="00F24302">
        <w:rPr>
          <w:rFonts w:ascii="Times New Roman" w:hAnsi="Times New Roman"/>
          <w:i/>
          <w:sz w:val="24"/>
          <w:szCs w:val="24"/>
          <w:lang w:val="ro-RO" w:eastAsia="ko-KR"/>
        </w:rPr>
        <w:t xml:space="preserve">Ca urmare a unei monitorizări neconforme, unele AAPL </w:t>
      </w:r>
      <w:r w:rsidRPr="00F24302">
        <w:rPr>
          <w:rFonts w:ascii="Times New Roman" w:eastAsia="Times New Roman" w:hAnsi="Times New Roman"/>
          <w:i/>
          <w:sz w:val="24"/>
          <w:szCs w:val="24"/>
          <w:lang w:val="ro-RO" w:eastAsia="ru-RU"/>
        </w:rPr>
        <w:t xml:space="preserve">au achitat lucrări de reparații capitale în sumă </w:t>
      </w:r>
      <w:r w:rsidRPr="00F24302">
        <w:rPr>
          <w:rFonts w:ascii="Times New Roman" w:hAnsi="Times New Roman"/>
          <w:i/>
          <w:sz w:val="24"/>
          <w:szCs w:val="24"/>
          <w:lang w:val="ro-RO" w:eastAsia="ko-KR"/>
        </w:rPr>
        <w:t>totală de 808,0 mii lei, care efectiv nu au fost executate, precum și au recepționat lucrări care la fel nu au fost efectuate, în sumă totală de 408,8 mii lei, și pentru care nu au fost efectuate achitări, ceea ce denotă o administrare frauduloasă a banilor publici.</w:t>
      </w:r>
      <w:r w:rsidRPr="00F24302">
        <w:rPr>
          <w:rFonts w:ascii="Times New Roman" w:hAnsi="Times New Roman"/>
          <w:bCs/>
          <w:sz w:val="24"/>
          <w:szCs w:val="24"/>
          <w:lang w:val="ro-RO"/>
        </w:rPr>
        <w:t xml:space="preserve"> </w:t>
      </w:r>
      <w:r w:rsidRPr="00F24302">
        <w:rPr>
          <w:rFonts w:ascii="Times New Roman" w:hAnsi="Times New Roman"/>
          <w:sz w:val="24"/>
          <w:szCs w:val="24"/>
          <w:lang w:val="ro-RO"/>
        </w:rPr>
        <w:t xml:space="preserve">Astfel, pe parcursul misiunii de audit, de comun cu antreprenorii, au fost verificate lucrările real executate, confruntîndu-le cu cele indicate în </w:t>
      </w:r>
      <w:r w:rsidRPr="00F24302">
        <w:rPr>
          <w:rFonts w:ascii="Times New Roman" w:eastAsia="Times New Roman" w:hAnsi="Times New Roman"/>
          <w:sz w:val="24"/>
          <w:szCs w:val="24"/>
          <w:lang w:val="ro-RO" w:eastAsia="ru-RU"/>
        </w:rPr>
        <w:t xml:space="preserve">procesele-verbale de recepție a lucrărilor executate și achitate. Urmare a verificărilor efectuate, la 7 entități au fost stabilite cazuri de neexecutare a lucrărilor de către agenții economici, în sumă totală de </w:t>
      </w:r>
      <w:r w:rsidRPr="00F24302">
        <w:rPr>
          <w:rFonts w:ascii="Times New Roman" w:hAnsi="Times New Roman"/>
          <w:sz w:val="24"/>
          <w:szCs w:val="24"/>
          <w:lang w:val="ro-RO" w:eastAsia="ru-RU"/>
        </w:rPr>
        <w:t>808,0 mii lei</w:t>
      </w:r>
      <w:r w:rsidRPr="00F24302">
        <w:rPr>
          <w:rFonts w:ascii="Times New Roman" w:hAnsi="Times New Roman"/>
          <w:sz w:val="24"/>
          <w:szCs w:val="24"/>
          <w:vertAlign w:val="superscript"/>
          <w:lang w:val="ro-RO" w:eastAsia="ru-RU"/>
        </w:rPr>
        <w:footnoteReference w:id="56"/>
      </w:r>
      <w:r w:rsidRPr="00F24302">
        <w:rPr>
          <w:rFonts w:ascii="Times New Roman" w:hAnsi="Times New Roman"/>
          <w:sz w:val="24"/>
          <w:szCs w:val="24"/>
          <w:lang w:val="ro-RO" w:eastAsia="ru-RU"/>
        </w:rPr>
        <w:t>, acestea fiind</w:t>
      </w:r>
      <w:r w:rsidRPr="00F24302">
        <w:rPr>
          <w:rFonts w:ascii="Times New Roman" w:eastAsia="Times New Roman" w:hAnsi="Times New Roman"/>
          <w:sz w:val="24"/>
          <w:szCs w:val="24"/>
          <w:lang w:val="ro-RO" w:eastAsia="ru-RU"/>
        </w:rPr>
        <w:t xml:space="preserve"> achitate de beneficiari</w:t>
      </w:r>
      <w:r w:rsidRPr="00F24302">
        <w:rPr>
          <w:rFonts w:ascii="Times New Roman" w:hAnsi="Times New Roman"/>
          <w:sz w:val="24"/>
          <w:szCs w:val="24"/>
          <w:lang w:val="ro-RO" w:eastAsia="ru-RU"/>
        </w:rPr>
        <w:t>. La fel, la 3 entități au fost constatate lucrări neexecutate, dar recepționate și neachitate de către beneficiari, acestea fiind reflectate ca datorii creditoare în sumă totală de 408,8 mii lei</w:t>
      </w:r>
      <w:r w:rsidRPr="00F24302">
        <w:rPr>
          <w:rFonts w:ascii="Times New Roman" w:hAnsi="Times New Roman"/>
          <w:sz w:val="24"/>
          <w:szCs w:val="24"/>
          <w:vertAlign w:val="superscript"/>
          <w:lang w:val="ro-RO" w:eastAsia="ru-RU"/>
        </w:rPr>
        <w:footnoteReference w:id="57"/>
      </w:r>
      <w:r w:rsidRPr="00F24302">
        <w:rPr>
          <w:rFonts w:ascii="Times New Roman" w:hAnsi="Times New Roman"/>
          <w:sz w:val="24"/>
          <w:szCs w:val="24"/>
          <w:lang w:val="ro-RO" w:eastAsia="ru-RU"/>
        </w:rPr>
        <w:t>.</w:t>
      </w:r>
    </w:p>
    <w:p w:rsidR="00F24302" w:rsidRPr="00F24302" w:rsidRDefault="00F24302" w:rsidP="00F24302">
      <w:pPr>
        <w:tabs>
          <w:tab w:val="left" w:pos="567"/>
        </w:tabs>
        <w:spacing w:after="120" w:line="240" w:lineRule="auto"/>
        <w:ind w:firstLine="567"/>
        <w:contextualSpacing/>
        <w:jc w:val="both"/>
        <w:rPr>
          <w:rFonts w:ascii="Times New Roman" w:hAnsi="Times New Roman"/>
          <w:sz w:val="24"/>
          <w:szCs w:val="24"/>
          <w:lang w:val="ro-RO" w:eastAsia="ko-KR"/>
        </w:rPr>
      </w:pPr>
      <w:r w:rsidRPr="00F24302">
        <w:rPr>
          <w:rFonts w:ascii="Times New Roman" w:hAnsi="Times New Roman"/>
          <w:sz w:val="24"/>
          <w:szCs w:val="24"/>
          <w:lang w:val="ro-RO" w:eastAsia="ru-RU"/>
        </w:rPr>
        <w:t>De menționat că, din suma totală a lucrărilor neexecutate (808,0 mii lei), Inspecția de Stat în Construcții, la obiectivul „Reconstrucția sistemei de aprovizionare cu apă potabilă în s. Coșcodeni, raionul Sîngerei” (etapa II), a confirmat (Actul de control nr.24 din 20.05.2016) volume de lucrări neexecutate în sumă totală de 334,5 mii lei, ceea ce constituie 67,7% din suma totală verificată de Inspecție (494,1 mii lei). Mai mult decît atît, în perioada derulării auditului, primăria com. Coșcodeni a creat o comisie pentru verificarea volumelor de lucrări la reconstrucția sistemului de aprovizionare cu apă din comună (neverificate de  Inspecția de Stat în Construcții), fiind constatate volume neexecutate în sumă de 36,1 mii lei</w:t>
      </w:r>
      <w:r w:rsidRPr="00F24302">
        <w:rPr>
          <w:rFonts w:ascii="Times New Roman" w:hAnsi="Times New Roman"/>
          <w:sz w:val="24"/>
          <w:szCs w:val="24"/>
          <w:lang w:val="ro-RO" w:eastAsia="ko-KR"/>
        </w:rPr>
        <w:t>.</w:t>
      </w:r>
    </w:p>
    <w:p w:rsidR="00F24302" w:rsidRPr="00F24302" w:rsidRDefault="00F24302" w:rsidP="00F24302">
      <w:pPr>
        <w:tabs>
          <w:tab w:val="left" w:pos="567"/>
        </w:tabs>
        <w:spacing w:after="120" w:line="240" w:lineRule="auto"/>
        <w:ind w:firstLine="567"/>
        <w:contextualSpacing/>
        <w:jc w:val="both"/>
        <w:rPr>
          <w:rFonts w:ascii="Times New Roman" w:hAnsi="Times New Roman"/>
          <w:bCs/>
          <w:i/>
          <w:sz w:val="24"/>
          <w:szCs w:val="24"/>
          <w:lang w:val="ro-RO"/>
        </w:rPr>
      </w:pPr>
    </w:p>
    <w:p w:rsidR="00F24302" w:rsidRPr="00F24302" w:rsidRDefault="00F24302" w:rsidP="00F24302">
      <w:pPr>
        <w:numPr>
          <w:ilvl w:val="0"/>
          <w:numId w:val="16"/>
        </w:numPr>
        <w:tabs>
          <w:tab w:val="left" w:pos="0"/>
        </w:tabs>
        <w:spacing w:after="0" w:line="240" w:lineRule="auto"/>
        <w:ind w:left="0" w:firstLine="426"/>
        <w:contextualSpacing/>
        <w:jc w:val="both"/>
        <w:rPr>
          <w:rFonts w:ascii="Times New Roman" w:hAnsi="Times New Roman"/>
          <w:bCs/>
          <w:i/>
          <w:sz w:val="24"/>
          <w:szCs w:val="24"/>
          <w:lang w:val="ro-RO"/>
        </w:rPr>
      </w:pPr>
      <w:r w:rsidRPr="00F24302">
        <w:rPr>
          <w:rFonts w:ascii="Times New Roman" w:hAnsi="Times New Roman"/>
          <w:i/>
          <w:sz w:val="24"/>
          <w:szCs w:val="24"/>
          <w:lang w:val="ro-RO" w:eastAsia="ko-KR"/>
        </w:rPr>
        <w:t>Unele AAPL, precum și unele instituții publice nu au</w:t>
      </w:r>
      <w:r w:rsidRPr="00F24302">
        <w:rPr>
          <w:rFonts w:ascii="Times New Roman" w:hAnsi="Times New Roman"/>
          <w:i/>
          <w:sz w:val="24"/>
          <w:szCs w:val="24"/>
          <w:lang w:val="ro-RO"/>
        </w:rPr>
        <w:t xml:space="preserve"> respectat exigențele privind asigurarea calității în construcții.</w:t>
      </w:r>
      <w:r w:rsidRPr="00F24302">
        <w:rPr>
          <w:rFonts w:ascii="Times New Roman" w:hAnsi="Times New Roman"/>
          <w:i/>
          <w:sz w:val="24"/>
          <w:szCs w:val="24"/>
          <w:lang w:val="ro-RO" w:eastAsia="ko-KR"/>
        </w:rPr>
        <w:t xml:space="preserve"> </w:t>
      </w:r>
      <w:r w:rsidRPr="00F24302">
        <w:rPr>
          <w:rFonts w:ascii="Times New Roman" w:hAnsi="Times New Roman"/>
          <w:sz w:val="24"/>
          <w:szCs w:val="24"/>
          <w:lang w:val="ro-RO" w:eastAsia="ko-KR"/>
        </w:rPr>
        <w:t>Astfel, ignorînd prevederile art.13 din Legea nr.721-XIII din 02.02.1996</w:t>
      </w:r>
      <w:r w:rsidRPr="00F24302">
        <w:rPr>
          <w:rFonts w:ascii="Times New Roman" w:hAnsi="Times New Roman"/>
          <w:sz w:val="24"/>
          <w:szCs w:val="24"/>
          <w:vertAlign w:val="superscript"/>
          <w:lang w:val="ro-RO" w:eastAsia="ko-KR"/>
        </w:rPr>
        <w:footnoteReference w:id="58"/>
      </w:r>
      <w:r w:rsidRPr="00F24302">
        <w:rPr>
          <w:rFonts w:ascii="Times New Roman" w:hAnsi="Times New Roman"/>
          <w:sz w:val="24"/>
          <w:szCs w:val="24"/>
          <w:lang w:val="ro-RO" w:eastAsia="ko-KR"/>
        </w:rPr>
        <w:t xml:space="preserve">, care prevăd că </w:t>
      </w:r>
      <w:r w:rsidRPr="00F24302">
        <w:rPr>
          <w:rFonts w:ascii="Times New Roman" w:hAnsi="Times New Roman"/>
          <w:sz w:val="24"/>
          <w:szCs w:val="24"/>
          <w:lang w:val="ro-RO"/>
        </w:rPr>
        <w:t>lucrările de construcții, precum și de modernizare, modificare, transformare, consolidare și de reparații se execută numai pe bază de proiect elaborat de persoane fizice sau juridice licențiate în acest domeniu și verificat de Serviciul de Stat pentru verificarea și expertizarea proiectelor și construcțiilor, unele entități au contractat</w:t>
      </w:r>
      <w:r w:rsidRPr="00F24302">
        <w:rPr>
          <w:rFonts w:ascii="Times New Roman" w:hAnsi="Times New Roman"/>
          <w:color w:val="FF0000"/>
          <w:sz w:val="24"/>
          <w:szCs w:val="24"/>
          <w:lang w:val="ro-RO"/>
        </w:rPr>
        <w:t xml:space="preserve"> </w:t>
      </w:r>
      <w:r w:rsidRPr="00F24302">
        <w:rPr>
          <w:rFonts w:ascii="Times New Roman" w:hAnsi="Times New Roman"/>
          <w:sz w:val="24"/>
          <w:szCs w:val="24"/>
          <w:lang w:val="ro-RO"/>
        </w:rPr>
        <w:t xml:space="preserve">lucrări de investiții și reparații </w:t>
      </w:r>
      <w:r w:rsidRPr="00F24302">
        <w:rPr>
          <w:rFonts w:ascii="Times New Roman" w:hAnsi="Times New Roman"/>
          <w:sz w:val="24"/>
          <w:szCs w:val="24"/>
          <w:lang w:val="ro-RO"/>
        </w:rPr>
        <w:lastRenderedPageBreak/>
        <w:t>capitale, în sumă totală de 1,7 mil.lei</w:t>
      </w:r>
      <w:r w:rsidRPr="00F24302">
        <w:rPr>
          <w:rFonts w:ascii="Times New Roman" w:hAnsi="Times New Roman"/>
          <w:sz w:val="24"/>
          <w:szCs w:val="24"/>
          <w:vertAlign w:val="superscript"/>
          <w:lang w:val="ro-RO"/>
        </w:rPr>
        <w:footnoteReference w:id="59"/>
      </w:r>
      <w:r w:rsidRPr="00F24302">
        <w:rPr>
          <w:rFonts w:ascii="Times New Roman" w:hAnsi="Times New Roman"/>
          <w:sz w:val="24"/>
          <w:szCs w:val="24"/>
          <w:lang w:val="ro-RO"/>
        </w:rPr>
        <w:t xml:space="preserve">, </w:t>
      </w:r>
      <w:r w:rsidRPr="00F24302">
        <w:rPr>
          <w:rFonts w:ascii="Times New Roman" w:hAnsi="Times New Roman"/>
          <w:sz w:val="24"/>
          <w:szCs w:val="24"/>
          <w:lang w:val="ro-RO" w:eastAsia="ko-KR"/>
        </w:rPr>
        <w:t xml:space="preserve">în lipsa proiectelor elaborate și verificate în modul stabilit. </w:t>
      </w:r>
      <w:r w:rsidRPr="00F24302">
        <w:rPr>
          <w:rFonts w:ascii="Times New Roman" w:hAnsi="Times New Roman"/>
          <w:sz w:val="24"/>
          <w:szCs w:val="24"/>
          <w:lang w:val="ro-RO"/>
        </w:rPr>
        <w:t xml:space="preserve">Deficiența respectivă poate genera </w:t>
      </w:r>
      <w:r w:rsidRPr="00F24302">
        <w:rPr>
          <w:rFonts w:ascii="Times New Roman" w:hAnsi="Times New Roman"/>
          <w:bCs/>
          <w:sz w:val="24"/>
          <w:szCs w:val="24"/>
          <w:lang w:val="ro-RO"/>
        </w:rPr>
        <w:t>majorarea volumului de lucrări</w:t>
      </w:r>
      <w:r w:rsidRPr="00F24302">
        <w:rPr>
          <w:rFonts w:ascii="Times New Roman" w:hAnsi="Times New Roman"/>
          <w:sz w:val="24"/>
          <w:szCs w:val="24"/>
          <w:lang w:val="ro-RO"/>
        </w:rPr>
        <w:t>, precum și limitează controlul asupra valorificării mijloacelor publice în aceste scopuri.</w:t>
      </w:r>
    </w:p>
    <w:p w:rsidR="00F24302" w:rsidRPr="00F24302" w:rsidRDefault="00F24302" w:rsidP="00F24302">
      <w:pPr>
        <w:spacing w:after="120" w:line="240" w:lineRule="auto"/>
        <w:ind w:firstLine="596"/>
        <w:jc w:val="both"/>
        <w:rPr>
          <w:rFonts w:ascii="Times New Roman" w:hAnsi="Times New Roman"/>
          <w:sz w:val="24"/>
          <w:szCs w:val="24"/>
          <w:lang w:val="ro-RO" w:eastAsia="ru-RU"/>
        </w:rPr>
      </w:pPr>
      <w:r w:rsidRPr="00F24302">
        <w:rPr>
          <w:rFonts w:ascii="Times New Roman" w:hAnsi="Times New Roman"/>
          <w:sz w:val="24"/>
          <w:szCs w:val="24"/>
          <w:lang w:val="ro-RO" w:eastAsia="ru-RU"/>
        </w:rPr>
        <w:t>La fel, unele deficiențe privind calitatea au fost constatate la primăria or.Biruința, unde au fost efectuate</w:t>
      </w:r>
      <w:r w:rsidRPr="00F24302">
        <w:rPr>
          <w:rFonts w:ascii="Times New Roman" w:hAnsi="Times New Roman"/>
          <w:bCs/>
          <w:iCs/>
          <w:sz w:val="24"/>
          <w:szCs w:val="24"/>
          <w:lang w:val="ro-RO"/>
        </w:rPr>
        <w:t xml:space="preserve"> lucrări de reparație a unui sector de drum din localitate în sumă totală de 0,2 mil.lei, care, la momentul examinării la fața locului, nu</w:t>
      </w:r>
      <w:r w:rsidRPr="00F24302">
        <w:rPr>
          <w:rFonts w:ascii="Times New Roman" w:hAnsi="Times New Roman"/>
          <w:sz w:val="24"/>
          <w:szCs w:val="24"/>
          <w:lang w:val="ro-RO" w:eastAsia="ru-RU"/>
        </w:rPr>
        <w:t xml:space="preserve"> </w:t>
      </w:r>
      <w:r w:rsidRPr="00F24302">
        <w:rPr>
          <w:rFonts w:ascii="Times New Roman" w:hAnsi="Times New Roman"/>
          <w:sz w:val="24"/>
          <w:szCs w:val="24"/>
          <w:lang w:val="ro-RO"/>
        </w:rPr>
        <w:t>era practicabil din cauza lucrărilor executate necalitativ.</w:t>
      </w:r>
    </w:p>
    <w:p w:rsidR="00F24302" w:rsidRPr="00F24302" w:rsidRDefault="00F24302" w:rsidP="00F24302">
      <w:pPr>
        <w:numPr>
          <w:ilvl w:val="0"/>
          <w:numId w:val="14"/>
        </w:numPr>
        <w:spacing w:after="120" w:line="240" w:lineRule="auto"/>
        <w:ind w:left="0" w:firstLine="426"/>
        <w:contextualSpacing/>
        <w:jc w:val="both"/>
        <w:rPr>
          <w:rFonts w:ascii="Times New Roman" w:eastAsia="Times New Roman" w:hAnsi="Times New Roman"/>
          <w:sz w:val="24"/>
          <w:szCs w:val="24"/>
          <w:lang w:val="ro-RO"/>
        </w:rPr>
      </w:pPr>
      <w:r w:rsidRPr="00F24302">
        <w:rPr>
          <w:rFonts w:ascii="Times New Roman" w:eastAsia="Times New Roman" w:hAnsi="Times New Roman"/>
          <w:i/>
          <w:iCs/>
          <w:sz w:val="24"/>
          <w:szCs w:val="24"/>
          <w:lang w:val="ro-RO"/>
        </w:rPr>
        <w:t xml:space="preserve">AAPL nu s-au asigurat prin garanțiile de bună execuție a lucrărilor. </w:t>
      </w:r>
      <w:r w:rsidRPr="00F24302">
        <w:rPr>
          <w:rFonts w:ascii="Times New Roman" w:eastAsia="Times New Roman" w:hAnsi="Times New Roman"/>
          <w:sz w:val="24"/>
          <w:szCs w:val="24"/>
          <w:lang w:val="ro-RO"/>
        </w:rPr>
        <w:t>Astfel, ignorînd prevederile art.42 alin.(8) din Legea nr.96-XVI din 13.04.2007</w:t>
      </w:r>
      <w:r w:rsidRPr="00F24302">
        <w:rPr>
          <w:rFonts w:ascii="Times New Roman" w:eastAsia="Times New Roman" w:hAnsi="Times New Roman"/>
          <w:sz w:val="24"/>
          <w:szCs w:val="24"/>
          <w:vertAlign w:val="superscript"/>
          <w:lang w:val="ro-RO"/>
        </w:rPr>
        <w:footnoteReference w:id="60"/>
      </w:r>
      <w:r w:rsidRPr="00F24302">
        <w:rPr>
          <w:rFonts w:ascii="Times New Roman" w:eastAsia="Times New Roman" w:hAnsi="Times New Roman"/>
          <w:sz w:val="24"/>
          <w:szCs w:val="24"/>
          <w:lang w:val="ro-RO"/>
        </w:rPr>
        <w:t>, la achiziția lucrărilor AAPL din raion, în calitate de autorități contractante, în 8 cazuri nu au solicitat de la antreprenori asigurarea executării lucrărilor sub formă de garanții pentru buna execuție a contractelor, estimate de echipa de audit în sumă totală de 1,1 mil.lei</w:t>
      </w:r>
      <w:r w:rsidRPr="00F24302">
        <w:rPr>
          <w:rFonts w:ascii="Times New Roman" w:eastAsia="Times New Roman" w:hAnsi="Times New Roman"/>
          <w:sz w:val="24"/>
          <w:szCs w:val="24"/>
          <w:vertAlign w:val="superscript"/>
          <w:lang w:val="ro-RO"/>
        </w:rPr>
        <w:footnoteReference w:id="61"/>
      </w:r>
      <w:r w:rsidRPr="00F24302">
        <w:rPr>
          <w:rFonts w:ascii="Times New Roman" w:eastAsia="Times New Roman" w:hAnsi="Times New Roman"/>
          <w:sz w:val="24"/>
          <w:szCs w:val="24"/>
          <w:lang w:val="ro-RO"/>
        </w:rPr>
        <w:t>. Ca urmare, lipsa garanțiilor de bună execuție privează autoritățile contractante de anumite pîrghii de constrîngere, în cazul neexecutării prevederilor contractuale sau executării unor lucrări necalitative.</w:t>
      </w:r>
    </w:p>
    <w:p w:rsidR="00F24302" w:rsidRPr="00F24302" w:rsidRDefault="00F24302" w:rsidP="00F24302">
      <w:pPr>
        <w:spacing w:after="120" w:line="240" w:lineRule="auto"/>
        <w:contextualSpacing/>
        <w:jc w:val="both"/>
        <w:rPr>
          <w:rFonts w:ascii="Times New Roman" w:eastAsia="Times New Roman" w:hAnsi="Times New Roman"/>
          <w:sz w:val="24"/>
          <w:szCs w:val="24"/>
          <w:lang w:val="ro-RO"/>
        </w:rPr>
      </w:pPr>
    </w:p>
    <w:p w:rsidR="00F24302" w:rsidRPr="00F24302" w:rsidRDefault="00F24302" w:rsidP="00F24302">
      <w:pPr>
        <w:numPr>
          <w:ilvl w:val="0"/>
          <w:numId w:val="14"/>
        </w:numPr>
        <w:spacing w:after="120" w:line="240" w:lineRule="auto"/>
        <w:ind w:left="0" w:firstLine="426"/>
        <w:contextualSpacing/>
        <w:jc w:val="both"/>
        <w:rPr>
          <w:rFonts w:ascii="Times New Roman" w:eastAsia="Times New Roman" w:hAnsi="Times New Roman"/>
          <w:bCs/>
          <w:iCs/>
          <w:sz w:val="24"/>
          <w:szCs w:val="24"/>
          <w:lang w:val="ro-RO"/>
        </w:rPr>
      </w:pPr>
      <w:r w:rsidRPr="00F24302">
        <w:rPr>
          <w:rFonts w:ascii="Times New Roman" w:eastAsia="MS Mincho" w:hAnsi="Times New Roman"/>
          <w:i/>
          <w:sz w:val="24"/>
          <w:szCs w:val="24"/>
          <w:lang w:val="ro-RO" w:eastAsia="ko-KR"/>
        </w:rPr>
        <w:t xml:space="preserve">Misiunea de audit a constatat </w:t>
      </w:r>
      <w:r w:rsidRPr="00F24302">
        <w:rPr>
          <w:rFonts w:ascii="Times New Roman" w:eastAsia="Times New Roman" w:hAnsi="Times New Roman"/>
          <w:bCs/>
          <w:i/>
          <w:iCs/>
          <w:sz w:val="24"/>
          <w:szCs w:val="24"/>
          <w:lang w:val="ro-RO"/>
        </w:rPr>
        <w:t>carențe</w:t>
      </w:r>
      <w:r w:rsidRPr="00F24302">
        <w:rPr>
          <w:rFonts w:ascii="Times New Roman" w:eastAsia="Times New Roman" w:hAnsi="Times New Roman"/>
          <w:i/>
          <w:sz w:val="24"/>
          <w:szCs w:val="24"/>
          <w:lang w:val="ro-RO"/>
        </w:rPr>
        <w:t xml:space="preserve"> </w:t>
      </w:r>
      <w:r w:rsidRPr="00F24302">
        <w:rPr>
          <w:rFonts w:ascii="Times New Roman" w:eastAsia="Times New Roman" w:hAnsi="Times New Roman"/>
          <w:bCs/>
          <w:i/>
          <w:iCs/>
          <w:sz w:val="24"/>
          <w:szCs w:val="24"/>
          <w:lang w:val="ro-RO"/>
        </w:rPr>
        <w:t xml:space="preserve">în monitorizarea contractelor, care s-au soldat cu acceptarea de către beneficiar a excluderii unor lucrări prevăzute în contracte, precum și includerea altora suplimentare neprevăzute în contracte, ceea ce nu corespunde prevederilor legale. </w:t>
      </w:r>
      <w:r w:rsidRPr="00F24302">
        <w:rPr>
          <w:rFonts w:ascii="Times New Roman" w:eastAsia="Times New Roman" w:hAnsi="Times New Roman"/>
          <w:bCs/>
          <w:iCs/>
          <w:sz w:val="24"/>
          <w:szCs w:val="24"/>
          <w:lang w:val="ro-RO"/>
        </w:rPr>
        <w:t xml:space="preserve">Astfel, potrivit </w:t>
      </w:r>
      <w:r w:rsidRPr="00F24302">
        <w:rPr>
          <w:rFonts w:ascii="Times New Roman" w:eastAsia="Times New Roman" w:hAnsi="Times New Roman"/>
          <w:sz w:val="24"/>
          <w:szCs w:val="24"/>
          <w:lang w:val="ro-RO" w:eastAsia="ro-RO"/>
        </w:rPr>
        <w:t>art.69 alin.(3) din Legea nr.96-XVI din 13.04.2007, se interzice modificarea oricărui element al contractului încheiat sau introducerea unor elemente noi dacă asemenea acțiuni sînt de natură să schimbe condițiile ofertei care au constituit temei pentru selectarea acesteia și să majoreze valoarea ei. Însă, ignorînd aceste prevederi,</w:t>
      </w:r>
      <w:r w:rsidRPr="00F24302">
        <w:rPr>
          <w:rFonts w:ascii="Times New Roman" w:eastAsia="Times New Roman" w:hAnsi="Times New Roman"/>
          <w:bCs/>
          <w:iCs/>
          <w:sz w:val="24"/>
          <w:szCs w:val="24"/>
          <w:lang w:val="ro-RO"/>
        </w:rPr>
        <w:t xml:space="preserve"> persoanele responsabile din cadrul unei entități au acceptat/recepționat modificări ale lucrărilor prevăzute în contractul inițial, în sumă totală de 0,3 mil.lei</w:t>
      </w:r>
      <w:r w:rsidRPr="00F24302">
        <w:rPr>
          <w:rFonts w:ascii="Times New Roman" w:eastAsia="Times New Roman" w:hAnsi="Times New Roman"/>
          <w:bCs/>
          <w:iCs/>
          <w:sz w:val="24"/>
          <w:szCs w:val="24"/>
          <w:vertAlign w:val="superscript"/>
          <w:lang w:val="ro-RO"/>
        </w:rPr>
        <w:footnoteReference w:id="62"/>
      </w:r>
      <w:r w:rsidRPr="00F24302">
        <w:rPr>
          <w:rFonts w:ascii="Times New Roman" w:eastAsia="Times New Roman" w:hAnsi="Times New Roman"/>
          <w:bCs/>
          <w:iCs/>
          <w:sz w:val="24"/>
          <w:szCs w:val="24"/>
          <w:lang w:val="ro-RO"/>
        </w:rPr>
        <w:t xml:space="preserve">, </w:t>
      </w:r>
      <w:r w:rsidRPr="00F24302">
        <w:rPr>
          <w:rFonts w:ascii="Times New Roman" w:eastAsia="Times New Roman" w:hAnsi="Times New Roman"/>
          <w:sz w:val="24"/>
          <w:szCs w:val="24"/>
          <w:lang w:val="ro-RO"/>
        </w:rPr>
        <w:t xml:space="preserve">fără ca aceste modificări să fie examinate în cadrul grupului de lucru de achiziții și raportate corespunzător AAP, totodată nefiind confirmată verificarea/expertizarea lucrărilor incluse, potrivit </w:t>
      </w:r>
      <w:r w:rsidRPr="00F24302">
        <w:rPr>
          <w:rFonts w:ascii="Times New Roman" w:eastAsia="Times New Roman" w:hAnsi="Times New Roman"/>
          <w:iCs/>
          <w:sz w:val="24"/>
          <w:szCs w:val="24"/>
          <w:lang w:val="ro-RO"/>
        </w:rPr>
        <w:t>art.13 din Legea nr.721-XIII din 02.02.1996.</w:t>
      </w:r>
    </w:p>
    <w:p w:rsidR="00F24302" w:rsidRPr="00F24302" w:rsidRDefault="00F24302" w:rsidP="00F24302">
      <w:pPr>
        <w:spacing w:after="120" w:line="240" w:lineRule="auto"/>
        <w:contextualSpacing/>
        <w:jc w:val="both"/>
        <w:rPr>
          <w:rFonts w:ascii="Times New Roman" w:eastAsia="Times New Roman" w:hAnsi="Times New Roman"/>
          <w:bCs/>
          <w:iCs/>
          <w:sz w:val="24"/>
          <w:szCs w:val="24"/>
          <w:lang w:val="ro-RO"/>
        </w:rPr>
      </w:pPr>
    </w:p>
    <w:p w:rsidR="00F24302" w:rsidRPr="00F24302" w:rsidRDefault="00F24302" w:rsidP="00F24302">
      <w:pPr>
        <w:numPr>
          <w:ilvl w:val="0"/>
          <w:numId w:val="14"/>
        </w:numPr>
        <w:spacing w:after="0" w:line="240" w:lineRule="auto"/>
        <w:ind w:left="0" w:firstLine="426"/>
        <w:contextualSpacing/>
        <w:jc w:val="both"/>
        <w:rPr>
          <w:rFonts w:ascii="Times New Roman" w:eastAsia="MS Mincho" w:hAnsi="Times New Roman"/>
          <w:i/>
          <w:sz w:val="24"/>
          <w:szCs w:val="24"/>
          <w:lang w:val="ro-RO" w:eastAsia="ja-JP"/>
        </w:rPr>
      </w:pPr>
      <w:r w:rsidRPr="00F24302">
        <w:rPr>
          <w:rFonts w:ascii="Times New Roman" w:eastAsia="MS Mincho" w:hAnsi="Times New Roman"/>
          <w:i/>
          <w:sz w:val="24"/>
          <w:szCs w:val="24"/>
          <w:lang w:val="ro-RO" w:eastAsia="ja-JP"/>
        </w:rPr>
        <w:t xml:space="preserve">Probele de audit acumulate au scos în evidență faptul că nu au fost respectate termenele de execuție a lucrărilor contractate, în sumă totală de 2,0 mil.lei. </w:t>
      </w:r>
    </w:p>
    <w:p w:rsidR="00F24302" w:rsidRPr="00F24302" w:rsidRDefault="00F24302" w:rsidP="00F24302">
      <w:pPr>
        <w:spacing w:after="120" w:line="240" w:lineRule="auto"/>
        <w:ind w:firstLine="567"/>
        <w:jc w:val="both"/>
        <w:rPr>
          <w:rFonts w:ascii="Times New Roman" w:eastAsia="MS Mincho" w:hAnsi="Times New Roman"/>
          <w:sz w:val="24"/>
          <w:szCs w:val="24"/>
          <w:lang w:val="ro-RO" w:eastAsia="ja-JP"/>
        </w:rPr>
      </w:pPr>
      <w:r w:rsidRPr="00F24302">
        <w:rPr>
          <w:rFonts w:ascii="Times New Roman" w:eastAsia="MS Mincho" w:hAnsi="Times New Roman"/>
          <w:sz w:val="24"/>
          <w:szCs w:val="24"/>
          <w:lang w:val="ro-RO" w:eastAsia="ja-JP"/>
        </w:rPr>
        <w:t xml:space="preserve">Deși potrivit clauzelor contractuale termenul de executare a </w:t>
      </w:r>
      <w:r w:rsidRPr="00F24302">
        <w:rPr>
          <w:rFonts w:ascii="Times New Roman" w:hAnsi="Times New Roman"/>
          <w:sz w:val="24"/>
          <w:szCs w:val="24"/>
          <w:lang w:val="ro-RO" w:eastAsia="ro-RO"/>
        </w:rPr>
        <w:t>lucrărilor de reconstrucție a sistemului de aprovizionare cu apă potabilă din com. Coșcodeni, în valoare de 2,0 mil.lei,</w:t>
      </w:r>
      <w:r w:rsidRPr="00F24302">
        <w:rPr>
          <w:rFonts w:ascii="Times New Roman" w:eastAsia="MS Mincho" w:hAnsi="Times New Roman"/>
          <w:sz w:val="24"/>
          <w:szCs w:val="24"/>
          <w:lang w:val="ro-RO" w:eastAsia="ja-JP"/>
        </w:rPr>
        <w:t xml:space="preserve"> a fost stabilit de 2 luni, lucrările respective au fost executate pe parcursul anilor 2014-2015, adică cu o depășire de 2 ani. Pînă la data efectuării misiunii de audit acest obiect nu a fost dat în exploatare.  </w:t>
      </w:r>
    </w:p>
    <w:p w:rsidR="00F24302" w:rsidRPr="00F24302" w:rsidRDefault="00F24302" w:rsidP="00F24302">
      <w:pPr>
        <w:numPr>
          <w:ilvl w:val="0"/>
          <w:numId w:val="14"/>
        </w:numPr>
        <w:spacing w:after="0" w:line="240" w:lineRule="auto"/>
        <w:ind w:left="0" w:firstLine="426"/>
        <w:contextualSpacing/>
        <w:jc w:val="both"/>
        <w:rPr>
          <w:rFonts w:ascii="Times New Roman" w:hAnsi="Times New Roman"/>
          <w:i/>
          <w:sz w:val="24"/>
          <w:szCs w:val="24"/>
          <w:lang w:val="ro-RO"/>
        </w:rPr>
      </w:pPr>
      <w:r w:rsidRPr="00F24302">
        <w:rPr>
          <w:rFonts w:ascii="Times New Roman" w:eastAsia="Times New Roman" w:hAnsi="Times New Roman"/>
          <w:i/>
          <w:sz w:val="24"/>
          <w:szCs w:val="24"/>
          <w:lang w:val="ro-RO" w:eastAsia="ru-RU"/>
        </w:rPr>
        <w:t xml:space="preserve">Managementul defectuos din partea CR și AP la implementarea și gestionarea Proiectului </w:t>
      </w:r>
      <w:r w:rsidRPr="00F24302">
        <w:rPr>
          <w:rFonts w:ascii="Times New Roman" w:eastAsia="MS Mincho" w:hAnsi="Times New Roman"/>
          <w:i/>
          <w:sz w:val="24"/>
          <w:szCs w:val="24"/>
          <w:lang w:val="ro-RO" w:eastAsia="ja-JP"/>
        </w:rPr>
        <w:t>„Dezvoltarea sectorului agricol prin crearea unei rețele transfrontaliere în domeniul agriculturii”,</w:t>
      </w:r>
      <w:r w:rsidRPr="00F24302">
        <w:rPr>
          <w:rFonts w:ascii="Times New Roman" w:eastAsia="Times New Roman" w:hAnsi="Times New Roman"/>
          <w:i/>
          <w:sz w:val="24"/>
          <w:szCs w:val="24"/>
          <w:lang w:val="ro-RO" w:eastAsia="ru-RU"/>
        </w:rPr>
        <w:t xml:space="preserve"> finanțat din contul</w:t>
      </w:r>
      <w:r w:rsidRPr="00F24302">
        <w:rPr>
          <w:rFonts w:ascii="Times New Roman" w:hAnsi="Times New Roman"/>
          <w:i/>
          <w:sz w:val="24"/>
          <w:szCs w:val="24"/>
          <w:lang w:val="ro-RO"/>
        </w:rPr>
        <w:t xml:space="preserve"> unui grant în valoare totală de 2,4 mil. euro (circa 45,0 mil.lei), a generat efectuarea unor cheltuieli neregulamentare/neeligibile în sumă totală de 1,8 mil.lei, neexecutarea unor lucrări menționate în procesele-verbale în valoare de 0,4 mil.lei, precum și neonorarea obligațiunilor din contractul de grant în sumă de 282,3 mii euro (circa 6,2 mil.lei), fiind generat riscul de returnare de către beneficiar a grantului în mărime integrală.</w:t>
      </w:r>
    </w:p>
    <w:p w:rsidR="00F24302" w:rsidRPr="00F24302" w:rsidRDefault="00F24302" w:rsidP="00F24302">
      <w:pPr>
        <w:spacing w:after="0" w:line="240" w:lineRule="auto"/>
        <w:ind w:firstLine="567"/>
        <w:jc w:val="both"/>
        <w:rPr>
          <w:rFonts w:ascii="Times New Roman" w:hAnsi="Times New Roman"/>
          <w:sz w:val="24"/>
          <w:szCs w:val="24"/>
          <w:lang w:val="ro-RO"/>
        </w:rPr>
      </w:pPr>
      <w:r w:rsidRPr="00F24302">
        <w:rPr>
          <w:rFonts w:ascii="Times New Roman" w:hAnsi="Times New Roman"/>
          <w:sz w:val="24"/>
          <w:szCs w:val="24"/>
          <w:lang w:val="ro-RO"/>
        </w:rPr>
        <w:lastRenderedPageBreak/>
        <w:t xml:space="preserve">În 2013, pentru implementarea </w:t>
      </w:r>
      <w:r w:rsidRPr="00F24302">
        <w:rPr>
          <w:rFonts w:ascii="Times New Roman" w:eastAsia="Times New Roman" w:hAnsi="Times New Roman"/>
          <w:sz w:val="24"/>
          <w:szCs w:val="24"/>
          <w:lang w:val="ro-RO" w:eastAsia="ru-RU"/>
        </w:rPr>
        <w:t xml:space="preserve">Proiectului </w:t>
      </w:r>
      <w:r w:rsidRPr="00F24302">
        <w:rPr>
          <w:rFonts w:ascii="Times New Roman" w:eastAsia="MS Mincho" w:hAnsi="Times New Roman"/>
          <w:sz w:val="24"/>
          <w:szCs w:val="24"/>
          <w:lang w:val="ro-RO" w:eastAsia="ja-JP"/>
        </w:rPr>
        <w:t>„Dezvoltarea sectorului agricol prin crearea unei rețele transfrontaliere în domeniul agriculturii”,</w:t>
      </w:r>
      <w:r w:rsidRPr="00F24302">
        <w:rPr>
          <w:rFonts w:ascii="Times New Roman" w:hAnsi="Times New Roman"/>
          <w:sz w:val="24"/>
          <w:szCs w:val="24"/>
          <w:lang w:val="ro-RO"/>
        </w:rPr>
        <w:t xml:space="preserve"> CR a beneficiat de finanțare nerambursabilă</w:t>
      </w:r>
      <w:r w:rsidRPr="00F24302">
        <w:rPr>
          <w:rFonts w:ascii="Times New Roman" w:eastAsia="MS Mincho" w:hAnsi="Times New Roman"/>
          <w:sz w:val="24"/>
          <w:szCs w:val="24"/>
          <w:lang w:val="ro-RO" w:eastAsia="ja-JP"/>
        </w:rPr>
        <w:t xml:space="preserve"> în sumă totală de 1,6 mil. euro (circa 30,0 mil.lei), contribuția UE pentru efectuarea unui studiu de fezabilitate, precum și pentru construcția Parcului Logistic Agroindustrial în raionul Sîngerei, contribuția proprie a CR urmînd a fi de 0,2 mil. euro (circa 3,2 mil.lei).</w:t>
      </w:r>
    </w:p>
    <w:p w:rsidR="00F24302" w:rsidRPr="00F24302" w:rsidRDefault="00F24302" w:rsidP="00F24302">
      <w:pPr>
        <w:spacing w:after="0" w:line="240" w:lineRule="auto"/>
        <w:ind w:firstLine="567"/>
        <w:jc w:val="both"/>
        <w:rPr>
          <w:rFonts w:ascii="Times New Roman" w:hAnsi="Times New Roman"/>
          <w:sz w:val="24"/>
          <w:szCs w:val="24"/>
          <w:lang w:val="ro-RO"/>
        </w:rPr>
      </w:pPr>
      <w:r w:rsidRPr="00F24302">
        <w:rPr>
          <w:rFonts w:ascii="Times New Roman" w:hAnsi="Times New Roman"/>
          <w:sz w:val="24"/>
          <w:szCs w:val="24"/>
          <w:lang w:val="ro-RO"/>
        </w:rPr>
        <w:t>Pentru implementarea proiectului în cauză,</w:t>
      </w:r>
      <w:r w:rsidRPr="00F24302">
        <w:rPr>
          <w:rFonts w:ascii="Times New Roman" w:eastAsia="MS Mincho" w:hAnsi="Times New Roman"/>
          <w:sz w:val="24"/>
          <w:szCs w:val="24"/>
          <w:lang w:val="ro-RO" w:eastAsia="ja-JP"/>
        </w:rPr>
        <w:t xml:space="preserve"> ca rezultat al procedurii de achiziții publice, au fost încheiate două contracte cu un agent economic: nr.45 din 30.05.2014, în valoare de 1,4 mil. euro (25,6 mil.lei) – pentru proiectarea, asistența tehnică și execuția obiectului Parcul Logistic Agroindustrial, și nr.46 din 02.06.2014, în sumă de 0,2 mil. euro (4,5 mil.lei) – pentru procurarea containerelor din lemn pentru stocarea producției. De menționat că, în baza contractului nr.45, în raionul Sîngerei (la 4 km distanță de mun. Bălți) a fost construit frigiderul cu casa de ambalare și blocul administrativ, pentru care AP a achitat din contul grantului oferit suma de 22,2 mil.lei, datoria față de agentul economic constituind 3,4 mil.lei. În baza contractului nr.46, lucrările au fost executate integral, pentru care AP a achitat mijloace financiare în sumă de 1,8 mil.lei, datoria față de agentul economic în acest caz constituind 2,7 mil.lei.</w:t>
      </w:r>
    </w:p>
    <w:p w:rsidR="00F24302" w:rsidRPr="00F24302" w:rsidRDefault="00F24302" w:rsidP="00F24302">
      <w:pPr>
        <w:spacing w:after="0" w:line="240" w:lineRule="auto"/>
        <w:ind w:firstLine="567"/>
        <w:jc w:val="both"/>
        <w:rPr>
          <w:rFonts w:ascii="Times New Roman" w:eastAsia="MS Mincho" w:hAnsi="Times New Roman"/>
          <w:sz w:val="24"/>
          <w:szCs w:val="24"/>
          <w:lang w:val="ro-RO" w:eastAsia="ja-JP"/>
        </w:rPr>
      </w:pPr>
      <w:r w:rsidRPr="00F24302">
        <w:rPr>
          <w:rFonts w:ascii="Times New Roman" w:eastAsia="MS Mincho" w:hAnsi="Times New Roman"/>
          <w:sz w:val="24"/>
          <w:szCs w:val="24"/>
          <w:lang w:val="ro-RO" w:eastAsia="ja-JP"/>
        </w:rPr>
        <w:t xml:space="preserve">Urmare a analizei documentației de deviz, precum și a lucrărilor executate, s-a constatat că proiectul pentru construcția obiectivului dat (25,6 mil.lei) nu a fost verificat și expertizat în modul stabilit conform art.13 </w:t>
      </w:r>
      <w:r w:rsidRPr="00F24302">
        <w:rPr>
          <w:rFonts w:ascii="Times New Roman" w:hAnsi="Times New Roman"/>
          <w:iCs/>
          <w:sz w:val="24"/>
          <w:szCs w:val="24"/>
          <w:lang w:val="ro-RO"/>
        </w:rPr>
        <w:t xml:space="preserve">din Legea nr.721-XIII </w:t>
      </w:r>
      <w:r w:rsidRPr="00F24302">
        <w:rPr>
          <w:rFonts w:ascii="Times New Roman" w:hAnsi="Times New Roman"/>
          <w:sz w:val="24"/>
          <w:szCs w:val="24"/>
          <w:lang w:val="ro-RO"/>
        </w:rPr>
        <w:t>din 02.02.1996</w:t>
      </w:r>
      <w:r w:rsidRPr="00F24302">
        <w:rPr>
          <w:rFonts w:ascii="Times New Roman" w:hAnsi="Times New Roman"/>
          <w:iCs/>
          <w:sz w:val="24"/>
          <w:szCs w:val="24"/>
          <w:lang w:val="ro-RO"/>
        </w:rPr>
        <w:t>.</w:t>
      </w:r>
      <w:r w:rsidRPr="00F24302">
        <w:rPr>
          <w:rFonts w:ascii="Times New Roman" w:eastAsia="MS Mincho" w:hAnsi="Times New Roman"/>
          <w:sz w:val="24"/>
          <w:szCs w:val="24"/>
          <w:lang w:val="ro-RO" w:eastAsia="ja-JP"/>
        </w:rPr>
        <w:t xml:space="preserve"> Această iregularitate a condiționat unele lucrări posibil neeligibile (identificate de echipa de proiect), care au fost contestate deoarece nu s-au încadrat în lucrările finanțate din grant, fiind executate de antreprenor în sumă de 1,2 mil.lei, și care ulterior, potrivit contractului, pot fi puse pe seama CR. Mai mult decît atît, </w:t>
      </w:r>
      <w:r w:rsidRPr="00F24302">
        <w:rPr>
          <w:rFonts w:ascii="Times New Roman" w:eastAsia="Times New Roman" w:hAnsi="Times New Roman"/>
          <w:bCs/>
          <w:sz w:val="24"/>
          <w:szCs w:val="24"/>
          <w:lang w:val="ro-RO"/>
        </w:rPr>
        <w:t>persoanele responsabile din cadrul proiectului, i</w:t>
      </w:r>
      <w:r w:rsidRPr="00F24302">
        <w:rPr>
          <w:rFonts w:ascii="Times New Roman" w:eastAsia="MS Mincho" w:hAnsi="Times New Roman"/>
          <w:sz w:val="24"/>
          <w:szCs w:val="24"/>
          <w:lang w:val="ro-RO" w:eastAsia="ja-JP"/>
        </w:rPr>
        <w:t xml:space="preserve">gnorînd prevederile </w:t>
      </w:r>
      <w:r w:rsidRPr="00F24302">
        <w:rPr>
          <w:rFonts w:ascii="Times New Roman" w:eastAsia="Times New Roman" w:hAnsi="Times New Roman"/>
          <w:bCs/>
          <w:sz w:val="24"/>
          <w:szCs w:val="24"/>
          <w:lang w:val="ro-RO"/>
        </w:rPr>
        <w:t>informației nr.05-14/1489  din 15.07.2014</w:t>
      </w:r>
      <w:r w:rsidRPr="00F24302">
        <w:rPr>
          <w:rFonts w:ascii="Times New Roman" w:eastAsia="Times New Roman" w:hAnsi="Times New Roman"/>
          <w:bCs/>
          <w:sz w:val="24"/>
          <w:szCs w:val="24"/>
          <w:vertAlign w:val="superscript"/>
          <w:lang w:val="ro-RO"/>
        </w:rPr>
        <w:footnoteReference w:id="63"/>
      </w:r>
      <w:r w:rsidRPr="00F24302">
        <w:rPr>
          <w:rFonts w:ascii="Times New Roman" w:eastAsia="Times New Roman" w:hAnsi="Times New Roman"/>
          <w:bCs/>
          <w:sz w:val="24"/>
          <w:szCs w:val="24"/>
          <w:lang w:val="ro-RO"/>
        </w:rPr>
        <w:t xml:space="preserve"> prin care au fost stabilite cotele cheltuielilor </w:t>
      </w:r>
      <w:r w:rsidRPr="00F24302">
        <w:rPr>
          <w:rFonts w:ascii="Times New Roman" w:eastAsia="Times New Roman" w:hAnsi="Times New Roman"/>
          <w:sz w:val="24"/>
          <w:szCs w:val="24"/>
          <w:lang w:val="ro-RO"/>
        </w:rPr>
        <w:t>la întocmirea valorii estimative de deviz a obiectivelor de construcții</w:t>
      </w:r>
      <w:r w:rsidRPr="00F24302">
        <w:rPr>
          <w:rFonts w:ascii="Times New Roman" w:eastAsia="Times New Roman" w:hAnsi="Times New Roman"/>
          <w:bCs/>
          <w:sz w:val="24"/>
          <w:szCs w:val="24"/>
          <w:lang w:val="ro-RO"/>
        </w:rPr>
        <w:t>, au acceptat și achitat agentului economic costul lucrărilor neprevăzute de actul normativ, astfel fiind admise cheltuieli neregulamentare în sumă totală de 562,8 mii lei,</w:t>
      </w:r>
      <w:r w:rsidRPr="00F24302">
        <w:rPr>
          <w:rFonts w:ascii="Times New Roman" w:eastAsia="Times New Roman" w:hAnsi="Times New Roman"/>
          <w:b/>
          <w:bCs/>
          <w:i/>
          <w:sz w:val="24"/>
          <w:szCs w:val="24"/>
          <w:lang w:val="ro-RO"/>
        </w:rPr>
        <w:t xml:space="preserve"> </w:t>
      </w:r>
      <w:r w:rsidRPr="00F24302">
        <w:rPr>
          <w:rFonts w:ascii="Times New Roman" w:eastAsia="Times New Roman" w:hAnsi="Times New Roman"/>
          <w:bCs/>
          <w:sz w:val="24"/>
          <w:szCs w:val="24"/>
          <w:lang w:val="ro-RO"/>
        </w:rPr>
        <w:t>inclusiv 302,4 mii lei – cheltuieli de deplasare, 66,5 mii lei – chiria clădirii pentru cazarea lucrătorilor, și 193,9 mii lei – serviciile macaralei.</w:t>
      </w:r>
      <w:r w:rsidRPr="00F24302">
        <w:rPr>
          <w:rFonts w:ascii="Times New Roman" w:eastAsia="MS Mincho" w:hAnsi="Times New Roman"/>
          <w:sz w:val="24"/>
          <w:szCs w:val="24"/>
          <w:lang w:val="ro-RO" w:eastAsia="ja-JP"/>
        </w:rPr>
        <w:t xml:space="preserve"> La fel, probele de audit colectate cu ieșire la fața locului relevă existența unor lucrări neexecutate, dar achitate agentului economic în sumă totală de 361,6 mii lei.</w:t>
      </w:r>
    </w:p>
    <w:p w:rsidR="00F24302" w:rsidRPr="00F24302" w:rsidRDefault="00F24302" w:rsidP="00F24302">
      <w:pPr>
        <w:spacing w:after="0" w:line="240" w:lineRule="auto"/>
        <w:ind w:firstLine="567"/>
        <w:jc w:val="both"/>
        <w:rPr>
          <w:rFonts w:ascii="Times New Roman" w:eastAsia="MS Mincho" w:hAnsi="Times New Roman"/>
          <w:sz w:val="24"/>
          <w:szCs w:val="24"/>
          <w:lang w:val="ro-RO" w:eastAsia="ja-JP"/>
        </w:rPr>
      </w:pPr>
      <w:r w:rsidRPr="00F24302">
        <w:rPr>
          <w:rFonts w:ascii="Times New Roman" w:eastAsia="MS Mincho" w:hAnsi="Times New Roman"/>
          <w:sz w:val="24"/>
          <w:szCs w:val="24"/>
          <w:lang w:val="ro-RO" w:eastAsia="ja-JP"/>
        </w:rPr>
        <w:t>Misiunea de audit relevă că, în pofida soldului liber (bugetul raional, la situația din 01.01.2015), rezultat din exercițiul bugetar, suma constituind 11,2 mil.lei, în perioada 2014-2016 CR nu și-a onorat obligațiunile asumate conform contractului de grant, alocînd pentru cofinanțarea proiectului mijloace financiare în sumă de 55,0 mii euro (1,1 mil.lei), cu 121,2 mii euro mai puțin față de obligațiile asumate. Totodată, nu au fost respectate lucrările planificate pentru anul 2016, mai cu seamă: construcția rețelelor electrice exterioare; realizarea construcțiilor inginerești și  rețelelor exterioare; construcția drumului, a stației de epurare a apei, precum și a fîntînii arteziene și montarea turnului de apă. Mai mult decît atît, CR nu și-a onorat nici obligațiunile conform contractului de grant privind depunerea tranșei a III-a în sumă de 161,1 mii euro, sumă care urma să-i fie restituită după finalizarea proiectului.</w:t>
      </w:r>
    </w:p>
    <w:p w:rsidR="00F24302" w:rsidRPr="00F24302" w:rsidRDefault="00F24302" w:rsidP="00F24302">
      <w:pPr>
        <w:spacing w:after="0" w:line="240" w:lineRule="auto"/>
        <w:ind w:firstLine="567"/>
        <w:jc w:val="both"/>
        <w:rPr>
          <w:rFonts w:ascii="Times New Roman" w:eastAsia="Times New Roman" w:hAnsi="Times New Roman"/>
          <w:bCs/>
          <w:sz w:val="24"/>
          <w:szCs w:val="24"/>
          <w:lang w:val="ro-RO"/>
        </w:rPr>
      </w:pPr>
      <w:r w:rsidRPr="00F24302">
        <w:rPr>
          <w:rFonts w:ascii="Times New Roman" w:eastAsia="Times New Roman" w:hAnsi="Times New Roman"/>
          <w:bCs/>
          <w:sz w:val="24"/>
          <w:szCs w:val="24"/>
          <w:lang w:val="ro-RO"/>
        </w:rPr>
        <w:t>De menționat că,</w:t>
      </w:r>
      <w:r w:rsidRPr="00F24302">
        <w:rPr>
          <w:rFonts w:ascii="Times New Roman" w:eastAsia="MS Mincho" w:hAnsi="Times New Roman"/>
          <w:sz w:val="24"/>
          <w:szCs w:val="24"/>
          <w:lang w:val="ro-RO" w:eastAsia="ja-JP"/>
        </w:rPr>
        <w:t xml:space="preserve"> pentru construcția utilităților inginerești, care nu au fost prevăzute pentru finanțare din mijloacele grantului, CR urmează să aloce resurse financiare în sumă totală de 13,7 mil.lei. Astfel, pentru finalizarea integrală a proiectului, CR urmează să aloce mijloace financiare estimate în sumă totală de 20,0 mil.lei (13,7 mil.lei – construcții inginerești, și 282,3 mii euro (circa  6,2 mil.lei) – tranșa a III-a și cofinanțarea proprie), care pînă la moment nu au fost identificate.</w:t>
      </w:r>
    </w:p>
    <w:p w:rsidR="00F24302" w:rsidRPr="00F24302" w:rsidRDefault="00F24302" w:rsidP="00F24302">
      <w:pPr>
        <w:spacing w:after="120" w:line="240" w:lineRule="auto"/>
        <w:ind w:firstLine="567"/>
        <w:jc w:val="both"/>
        <w:rPr>
          <w:rFonts w:ascii="Times New Roman" w:eastAsia="MS Mincho" w:hAnsi="Times New Roman"/>
          <w:sz w:val="24"/>
          <w:szCs w:val="24"/>
          <w:lang w:val="ro-RO" w:eastAsia="ja-JP"/>
        </w:rPr>
      </w:pPr>
      <w:r w:rsidRPr="00F24302">
        <w:rPr>
          <w:rFonts w:ascii="Times New Roman" w:eastAsia="MS Mincho" w:hAnsi="Times New Roman"/>
          <w:sz w:val="24"/>
          <w:szCs w:val="24"/>
          <w:lang w:val="ro-RO" w:eastAsia="ja-JP"/>
        </w:rPr>
        <w:t>În contextul celor evocate, se relevă că potrivit angajamentelor asumate de CR conform acordului adițional nr.2 întregul ciclu de lucrări urmează a fi finalizat pînă la sfîrșitul anului 2016. Neîndeplinirea de către beneficiar a obligațiunilor prevăzute în contractul de grant s-ar putea solda cu returnarea către donatorul de grant a sumei totale a proiectului.</w:t>
      </w:r>
    </w:p>
    <w:p w:rsidR="00F24302" w:rsidRPr="00F24302" w:rsidRDefault="00F24302" w:rsidP="00F24302">
      <w:pPr>
        <w:numPr>
          <w:ilvl w:val="0"/>
          <w:numId w:val="17"/>
        </w:numPr>
        <w:tabs>
          <w:tab w:val="left" w:pos="0"/>
        </w:tabs>
        <w:spacing w:after="0" w:line="240" w:lineRule="auto"/>
        <w:ind w:left="0" w:firstLine="426"/>
        <w:contextualSpacing/>
        <w:jc w:val="both"/>
        <w:rPr>
          <w:rFonts w:ascii="Times New Roman" w:hAnsi="Times New Roman"/>
          <w:sz w:val="24"/>
          <w:szCs w:val="24"/>
          <w:lang w:val="ro-RO"/>
        </w:rPr>
      </w:pPr>
      <w:r w:rsidRPr="00F24302">
        <w:rPr>
          <w:rFonts w:ascii="Times New Roman" w:eastAsia="Times New Roman" w:hAnsi="Times New Roman"/>
          <w:b/>
          <w:bCs/>
          <w:i/>
          <w:iCs/>
          <w:sz w:val="24"/>
          <w:szCs w:val="24"/>
          <w:lang w:val="ro-RO"/>
        </w:rPr>
        <w:lastRenderedPageBreak/>
        <w:t>Achizițiile publice de mărfuri, lucrări și servicii în cadrul unor entități nu întotdeauna au întrunit aspectul legal.</w:t>
      </w:r>
    </w:p>
    <w:p w:rsidR="00F24302" w:rsidRPr="00F24302" w:rsidRDefault="00F24302" w:rsidP="00F24302">
      <w:pPr>
        <w:spacing w:after="120" w:line="240" w:lineRule="auto"/>
        <w:ind w:firstLine="720"/>
        <w:jc w:val="both"/>
        <w:rPr>
          <w:rFonts w:ascii="Times New Roman" w:eastAsia="Times New Roman" w:hAnsi="Times New Roman"/>
          <w:sz w:val="24"/>
          <w:szCs w:val="24"/>
          <w:lang w:val="ro-RO"/>
        </w:rPr>
      </w:pPr>
      <w:r w:rsidRPr="00F24302">
        <w:rPr>
          <w:rFonts w:ascii="Times New Roman" w:eastAsia="Times New Roman" w:hAnsi="Times New Roman"/>
          <w:sz w:val="24"/>
          <w:szCs w:val="24"/>
          <w:lang w:val="ro-RO"/>
        </w:rPr>
        <w:t>Potrivit prevederilor Legii nr.96</w:t>
      </w:r>
      <w:r w:rsidRPr="00F24302">
        <w:rPr>
          <w:rFonts w:ascii="Times New Roman" w:eastAsia="Times New Roman" w:hAnsi="Times New Roman"/>
          <w:iCs/>
          <w:sz w:val="24"/>
          <w:szCs w:val="24"/>
          <w:lang w:val="ro-RO"/>
        </w:rPr>
        <w:t>-XVI din 13.04.2007</w:t>
      </w:r>
      <w:r w:rsidRPr="00F24302">
        <w:rPr>
          <w:rFonts w:ascii="Times New Roman" w:eastAsia="Times New Roman" w:hAnsi="Times New Roman"/>
          <w:sz w:val="24"/>
          <w:szCs w:val="24"/>
          <w:lang w:val="ro-RO"/>
        </w:rPr>
        <w:t>, autoritățile contractante au obligația să asigure legalitatea și eficiența achizițiilor publice. În acest context, misiunea de audit a constatat că, în perioada supusă auditului, unele entități, în calitate de autorități contractante, au admis încălcări și lacune la achiziționarea bunurilor și serviciilor, care au afectat buna gestiune a mijloacelor publice locale. Astfel,</w:t>
      </w:r>
    </w:p>
    <w:p w:rsidR="00F24302" w:rsidRPr="00F24302" w:rsidRDefault="00F24302" w:rsidP="00F24302">
      <w:pPr>
        <w:numPr>
          <w:ilvl w:val="0"/>
          <w:numId w:val="15"/>
        </w:numPr>
        <w:spacing w:after="0" w:line="240" w:lineRule="auto"/>
        <w:ind w:left="0" w:firstLine="426"/>
        <w:contextualSpacing/>
        <w:jc w:val="both"/>
        <w:rPr>
          <w:rFonts w:ascii="Times New Roman" w:eastAsia="Times New Roman" w:hAnsi="Times New Roman"/>
          <w:i/>
          <w:sz w:val="24"/>
          <w:szCs w:val="24"/>
          <w:lang w:val="ro-RO"/>
        </w:rPr>
      </w:pPr>
      <w:r w:rsidRPr="00F24302">
        <w:rPr>
          <w:rFonts w:ascii="Times New Roman" w:hAnsi="Times New Roman"/>
          <w:i/>
          <w:sz w:val="24"/>
          <w:szCs w:val="24"/>
          <w:lang w:val="ro-RO"/>
        </w:rPr>
        <w:t>AP nu a</w:t>
      </w:r>
      <w:r w:rsidRPr="00F24302">
        <w:rPr>
          <w:rFonts w:ascii="Times New Roman" w:eastAsia="Times New Roman" w:hAnsi="Times New Roman"/>
          <w:bCs/>
          <w:i/>
          <w:iCs/>
          <w:sz w:val="24"/>
          <w:szCs w:val="24"/>
          <w:lang w:val="ro-RO"/>
        </w:rPr>
        <w:t xml:space="preserve"> reușit să mențină cheltuielile angajate în limitele maxime aprobate.</w:t>
      </w:r>
    </w:p>
    <w:p w:rsidR="00F24302" w:rsidRPr="00F24302" w:rsidRDefault="00F24302" w:rsidP="00F24302">
      <w:pPr>
        <w:spacing w:after="0" w:line="240" w:lineRule="auto"/>
        <w:ind w:firstLine="720"/>
        <w:jc w:val="both"/>
        <w:rPr>
          <w:rFonts w:ascii="Times New Roman" w:eastAsia="Times New Roman" w:hAnsi="Times New Roman"/>
          <w:sz w:val="24"/>
          <w:szCs w:val="24"/>
          <w:lang w:val="ro-RO"/>
        </w:rPr>
      </w:pPr>
      <w:r w:rsidRPr="00F24302">
        <w:rPr>
          <w:rFonts w:ascii="Times New Roman" w:eastAsia="Times New Roman" w:hAnsi="Times New Roman"/>
          <w:sz w:val="24"/>
          <w:szCs w:val="24"/>
          <w:lang w:val="ro-RO"/>
        </w:rPr>
        <w:t>Ignorînd prevederile cadrului legal</w:t>
      </w:r>
      <w:r w:rsidRPr="00F24302">
        <w:rPr>
          <w:rStyle w:val="a7"/>
          <w:rFonts w:ascii="Times New Roman" w:eastAsia="Times New Roman" w:hAnsi="Times New Roman"/>
          <w:sz w:val="24"/>
          <w:szCs w:val="24"/>
          <w:lang w:val="ro-RO"/>
        </w:rPr>
        <w:footnoteReference w:id="64"/>
      </w:r>
      <w:r w:rsidRPr="00F24302">
        <w:rPr>
          <w:rFonts w:ascii="Times New Roman" w:eastAsia="Times New Roman" w:hAnsi="Times New Roman"/>
          <w:sz w:val="24"/>
          <w:szCs w:val="24"/>
          <w:lang w:val="ro-RO"/>
        </w:rPr>
        <w:t xml:space="preserve"> care specifică că cheltuielile aprobate (rectificate pe parcursul anului bugetar) în bugetele UAT reprezintă limite maxime care nu pot fi depășite, iar contractarea de lucrări, servicii, bunuri materiale și efectuarea de cheltuieli se realizează de către executorii (ordonatorii) de buget doar cu respectarea prevederilor legale și în cadrul limitelor aprobate (rectificate), în 2015 AP a contractat procurarea unui vehicul pentru colectarea deșeurilor menajere și a unui vehicul pentru curățarea străzilor în sumă totală de 2,9 mil.lei, precum și a unor containere pentru deșeuri în sumă totală de 0,4 mil.lei. Deși contractele de achiziții publice pentru procurarea acestor bunuri nu au fost înregistrate în anul 2015 la Trezorerie, agentul economic a livrat și beneficiarul a recepționat bunurile prin act de primire-predare, la sfîrșitul anului bugetar fiind înregistrate datorii creditoare. De menționat că pînă la inițierea auditului bunurile materiale nu au fost achitate și nici utilizate de către beneficiar, acestea fiind stocate în depozitul întreprinderii municipale, AP înaintînd o scrisoare privind returnarea bunurilor agentului economic;  </w:t>
      </w:r>
    </w:p>
    <w:p w:rsidR="00F24302" w:rsidRPr="00F24302" w:rsidRDefault="00F24302" w:rsidP="00F24302">
      <w:pPr>
        <w:numPr>
          <w:ilvl w:val="0"/>
          <w:numId w:val="18"/>
        </w:numPr>
        <w:spacing w:after="120" w:line="240" w:lineRule="auto"/>
        <w:ind w:left="0" w:firstLine="426"/>
        <w:contextualSpacing/>
        <w:jc w:val="both"/>
        <w:rPr>
          <w:rFonts w:ascii="Times New Roman" w:eastAsia="Times New Roman" w:hAnsi="Times New Roman"/>
          <w:sz w:val="24"/>
          <w:szCs w:val="24"/>
          <w:lang w:val="ro-RO"/>
        </w:rPr>
      </w:pPr>
      <w:r w:rsidRPr="00F24302">
        <w:rPr>
          <w:rFonts w:ascii="Times New Roman" w:hAnsi="Times New Roman"/>
          <w:sz w:val="24"/>
          <w:szCs w:val="24"/>
          <w:lang w:val="ro-RO"/>
        </w:rPr>
        <w:t>contrar prevederilor</w:t>
      </w:r>
      <w:r w:rsidRPr="00F24302">
        <w:rPr>
          <w:rFonts w:ascii="Times New Roman" w:hAnsi="Times New Roman"/>
          <w:bCs/>
          <w:sz w:val="24"/>
          <w:szCs w:val="24"/>
          <w:lang w:val="ro-RO"/>
        </w:rPr>
        <w:t xml:space="preserve"> pct.16 din Regulamentul aprobat prin </w:t>
      </w:r>
      <w:r w:rsidRPr="00F24302">
        <w:rPr>
          <w:rFonts w:ascii="Times New Roman" w:hAnsi="Times New Roman"/>
          <w:sz w:val="24"/>
          <w:szCs w:val="24"/>
          <w:lang w:val="ro-RO"/>
        </w:rPr>
        <w:t>HG nr.148 din 14.02.2008</w:t>
      </w:r>
      <w:r w:rsidRPr="00F24302">
        <w:rPr>
          <w:rFonts w:ascii="Times New Roman" w:hAnsi="Times New Roman"/>
          <w:sz w:val="24"/>
          <w:szCs w:val="24"/>
          <w:vertAlign w:val="superscript"/>
          <w:lang w:val="ro-RO"/>
        </w:rPr>
        <w:footnoteReference w:id="65"/>
      </w:r>
      <w:r w:rsidRPr="00F24302">
        <w:rPr>
          <w:rFonts w:ascii="Times New Roman" w:hAnsi="Times New Roman"/>
          <w:sz w:val="24"/>
          <w:szCs w:val="24"/>
          <w:lang w:val="ro-RO"/>
        </w:rPr>
        <w:t>, pe parcursul anului 2015 grupul de lucru al primăriei or.Sîngerei a încheiat  mai multe contracte de achiziții publice de valoare mică pentru același tip de marfă, nerespectînd principiile de eficiență a achizițiilor publice;</w:t>
      </w:r>
    </w:p>
    <w:p w:rsidR="00F24302" w:rsidRPr="00F24302" w:rsidRDefault="00F24302" w:rsidP="00F24302">
      <w:pPr>
        <w:numPr>
          <w:ilvl w:val="0"/>
          <w:numId w:val="18"/>
        </w:numPr>
        <w:spacing w:after="0" w:line="240" w:lineRule="auto"/>
        <w:ind w:left="0" w:firstLine="426"/>
        <w:contextualSpacing/>
        <w:jc w:val="both"/>
        <w:rPr>
          <w:rFonts w:ascii="Times New Roman" w:eastAsia="Times New Roman" w:hAnsi="Times New Roman"/>
          <w:sz w:val="24"/>
          <w:szCs w:val="24"/>
          <w:lang w:val="ro-RO"/>
        </w:rPr>
      </w:pPr>
      <w:r w:rsidRPr="00F24302">
        <w:rPr>
          <w:rFonts w:ascii="Times New Roman" w:hAnsi="Times New Roman"/>
          <w:sz w:val="24"/>
          <w:szCs w:val="24"/>
          <w:lang w:val="ro-RO"/>
        </w:rPr>
        <w:t>grupurile de lucru din cadrul unor entități</w:t>
      </w:r>
      <w:r w:rsidRPr="00F24302">
        <w:rPr>
          <w:rFonts w:ascii="Times New Roman" w:hAnsi="Times New Roman"/>
          <w:sz w:val="24"/>
          <w:szCs w:val="24"/>
          <w:vertAlign w:val="superscript"/>
          <w:lang w:val="ro-RO"/>
        </w:rPr>
        <w:footnoteReference w:id="66"/>
      </w:r>
      <w:r w:rsidRPr="00F24302">
        <w:rPr>
          <w:rFonts w:ascii="Times New Roman" w:hAnsi="Times New Roman"/>
          <w:sz w:val="24"/>
          <w:szCs w:val="24"/>
          <w:lang w:val="ro-RO"/>
        </w:rPr>
        <w:t xml:space="preserve"> nu au asigurat principiul transparenței achizițiilor publice și concurenței loiale, deoarece în anul 2015 nu au înregistrat invitațiile de participare la concursurile prin cererea ofertei de prețuri, după cum prevede pct.10 din Regulamentul aprobat prin HG nr.245</w:t>
      </w:r>
      <w:r w:rsidRPr="00F24302">
        <w:rPr>
          <w:rFonts w:ascii="Times New Roman" w:hAnsi="Times New Roman"/>
          <w:sz w:val="24"/>
          <w:szCs w:val="24"/>
          <w:vertAlign w:val="superscript"/>
          <w:lang w:val="ro-RO"/>
        </w:rPr>
        <w:footnoteReference w:id="67"/>
      </w:r>
      <w:r w:rsidRPr="00F24302">
        <w:rPr>
          <w:rFonts w:ascii="Times New Roman" w:hAnsi="Times New Roman"/>
          <w:sz w:val="24"/>
          <w:szCs w:val="24"/>
          <w:lang w:val="ro-RO"/>
        </w:rPr>
        <w:t>, precum și nu au înregistrat nici ofertele depuse de către agenții economici participanți la concursuri, ceea ce contravine prevederilor pct.29 din Regulamentul menționat. Totodată,</w:t>
      </w:r>
      <w:r w:rsidRPr="00F24302">
        <w:rPr>
          <w:rFonts w:ascii="Times New Roman" w:eastAsia="Times New Roman" w:hAnsi="Times New Roman"/>
          <w:sz w:val="24"/>
          <w:szCs w:val="24"/>
          <w:lang w:val="en-US" w:eastAsia="zh-CN"/>
        </w:rPr>
        <w:t xml:space="preserve"> c</w:t>
      </w:r>
      <w:r w:rsidRPr="00F24302">
        <w:rPr>
          <w:rFonts w:ascii="Times New Roman" w:hAnsi="Times New Roman"/>
          <w:sz w:val="24"/>
          <w:szCs w:val="24"/>
          <w:lang w:val="en-US"/>
        </w:rPr>
        <w:t xml:space="preserve">ontrar </w:t>
      </w:r>
      <w:r w:rsidRPr="00F24302">
        <w:rPr>
          <w:rFonts w:ascii="Times New Roman" w:hAnsi="Times New Roman"/>
          <w:bCs/>
          <w:sz w:val="24"/>
          <w:szCs w:val="24"/>
          <w:lang w:val="en-US"/>
        </w:rPr>
        <w:t>pct.15 din</w:t>
      </w:r>
      <w:r w:rsidRPr="00F24302">
        <w:rPr>
          <w:rFonts w:ascii="Times New Roman" w:hAnsi="Times New Roman"/>
          <w:bCs/>
          <w:sz w:val="24"/>
          <w:szCs w:val="24"/>
          <w:lang w:val="ro-RO"/>
        </w:rPr>
        <w:t xml:space="preserve"> Regulamentul aprobat</w:t>
      </w:r>
      <w:r w:rsidRPr="00F24302">
        <w:rPr>
          <w:rFonts w:ascii="Times New Roman" w:hAnsi="Times New Roman"/>
          <w:bCs/>
          <w:sz w:val="24"/>
          <w:szCs w:val="24"/>
          <w:lang w:val="en-US"/>
        </w:rPr>
        <w:t xml:space="preserve"> prin </w:t>
      </w:r>
      <w:r w:rsidRPr="00F24302">
        <w:rPr>
          <w:rFonts w:ascii="Times New Roman" w:hAnsi="Times New Roman"/>
          <w:sz w:val="24"/>
          <w:szCs w:val="24"/>
          <w:lang w:val="en-US"/>
        </w:rPr>
        <w:t>HG nr.148 din 22.02.2008</w:t>
      </w:r>
      <w:r w:rsidRPr="00F24302">
        <w:rPr>
          <w:rFonts w:ascii="Times New Roman" w:hAnsi="Times New Roman"/>
          <w:sz w:val="24"/>
          <w:szCs w:val="24"/>
          <w:vertAlign w:val="superscript"/>
        </w:rPr>
        <w:footnoteReference w:id="68"/>
      </w:r>
      <w:r w:rsidRPr="00F24302">
        <w:rPr>
          <w:rFonts w:ascii="Times New Roman" w:hAnsi="Times New Roman"/>
          <w:sz w:val="24"/>
          <w:szCs w:val="24"/>
          <w:lang w:val="en-US"/>
        </w:rPr>
        <w:t>, unele  autorități contractante</w:t>
      </w:r>
      <w:r w:rsidRPr="00F24302">
        <w:rPr>
          <w:rFonts w:ascii="Times New Roman" w:hAnsi="Times New Roman"/>
          <w:sz w:val="24"/>
          <w:szCs w:val="24"/>
          <w:vertAlign w:val="superscript"/>
        </w:rPr>
        <w:footnoteReference w:id="69"/>
      </w:r>
      <w:r w:rsidRPr="00F24302">
        <w:rPr>
          <w:rFonts w:ascii="Times New Roman" w:hAnsi="Times New Roman"/>
          <w:sz w:val="24"/>
          <w:szCs w:val="24"/>
          <w:lang w:val="en-US"/>
        </w:rPr>
        <w:t xml:space="preserve"> nu dispun de probe relevante în aspectul confirmării acțiunilor de selectare a operatorului economic, în vederea atribuirii contractului de achiziție publică de valoare mică, cu respectarea cumulativă a cerințelor obligatorii.  Aceasta a cauzat limitarea implementării în practică a principiilor generale de achiziții publice cu referire la identificarea operatorului economic pe piață;</w:t>
      </w:r>
    </w:p>
    <w:p w:rsidR="00F24302" w:rsidRPr="00F24302" w:rsidRDefault="00F24302" w:rsidP="00F24302">
      <w:pPr>
        <w:numPr>
          <w:ilvl w:val="0"/>
          <w:numId w:val="18"/>
        </w:numPr>
        <w:spacing w:after="0" w:line="240" w:lineRule="auto"/>
        <w:ind w:left="0" w:firstLine="426"/>
        <w:contextualSpacing/>
        <w:jc w:val="both"/>
        <w:rPr>
          <w:rFonts w:ascii="Times New Roman" w:eastAsia="Times New Roman" w:hAnsi="Times New Roman"/>
          <w:sz w:val="24"/>
          <w:szCs w:val="24"/>
          <w:lang w:val="ro-RO"/>
        </w:rPr>
      </w:pPr>
      <w:r w:rsidRPr="00F24302">
        <w:rPr>
          <w:rFonts w:ascii="Times New Roman" w:eastAsia="Times New Roman" w:hAnsi="Times New Roman"/>
          <w:iCs/>
          <w:sz w:val="24"/>
          <w:szCs w:val="24"/>
          <w:lang w:val="ro-RO"/>
        </w:rPr>
        <w:t>unele entități</w:t>
      </w:r>
      <w:r w:rsidRPr="00F24302">
        <w:rPr>
          <w:rFonts w:ascii="Times New Roman" w:eastAsia="Times New Roman" w:hAnsi="Times New Roman"/>
          <w:iCs/>
          <w:sz w:val="24"/>
          <w:szCs w:val="24"/>
          <w:vertAlign w:val="superscript"/>
          <w:lang w:val="ro-RO"/>
        </w:rPr>
        <w:footnoteReference w:id="70"/>
      </w:r>
      <w:r w:rsidRPr="00F24302">
        <w:rPr>
          <w:rFonts w:ascii="Times New Roman" w:eastAsia="Times New Roman" w:hAnsi="Times New Roman"/>
          <w:iCs/>
          <w:sz w:val="24"/>
          <w:szCs w:val="24"/>
          <w:lang w:val="ro-RO"/>
        </w:rPr>
        <w:t xml:space="preserve"> nu au întocmit dosarele achizițiilor publice pe anul 2015, conform prevederilor art.32 din Legea nr.96-XVI din 13.04.2007 şi pct.6 din Regulamentul aprobat prin HG nr.9 din 17.01.2008</w:t>
      </w:r>
      <w:r w:rsidRPr="00F24302">
        <w:rPr>
          <w:rFonts w:ascii="Times New Roman" w:eastAsia="Times New Roman" w:hAnsi="Times New Roman"/>
          <w:iCs/>
          <w:sz w:val="24"/>
          <w:szCs w:val="24"/>
          <w:vertAlign w:val="superscript"/>
          <w:lang w:val="ro-RO"/>
        </w:rPr>
        <w:footnoteReference w:id="71"/>
      </w:r>
      <w:r w:rsidRPr="00F24302">
        <w:rPr>
          <w:rFonts w:ascii="Times New Roman" w:eastAsia="Times New Roman" w:hAnsi="Times New Roman"/>
          <w:sz w:val="24"/>
          <w:szCs w:val="24"/>
          <w:lang w:val="ro-RO"/>
        </w:rPr>
        <w:t>, pentru fiecare procedură de achiziție în parte, nefiind cusute, ștampilate și numerotate pentru asigurarea integrității lor și minimizarea riscului de sustragere sau schimbare a unor documente.</w:t>
      </w:r>
    </w:p>
    <w:p w:rsidR="00F24302" w:rsidRPr="00F24302" w:rsidRDefault="00F24302" w:rsidP="00F24302">
      <w:pPr>
        <w:spacing w:after="0" w:line="240" w:lineRule="auto"/>
        <w:contextualSpacing/>
        <w:jc w:val="both"/>
        <w:rPr>
          <w:rFonts w:ascii="Times New Roman" w:eastAsia="Times New Roman" w:hAnsi="Times New Roman"/>
          <w:sz w:val="24"/>
          <w:szCs w:val="24"/>
          <w:lang w:val="ro-RO"/>
        </w:rPr>
      </w:pPr>
    </w:p>
    <w:p w:rsidR="00F24302" w:rsidRPr="00F24302" w:rsidRDefault="00F24302" w:rsidP="00F24302">
      <w:pPr>
        <w:tabs>
          <w:tab w:val="left" w:pos="0"/>
        </w:tabs>
        <w:spacing w:after="0" w:line="240" w:lineRule="auto"/>
        <w:jc w:val="both"/>
        <w:rPr>
          <w:rFonts w:ascii="Times New Roman" w:hAnsi="Times New Roman"/>
          <w:b/>
          <w:sz w:val="24"/>
          <w:szCs w:val="24"/>
          <w:u w:val="single"/>
          <w:lang w:val="ro-RO"/>
        </w:rPr>
      </w:pPr>
      <w:r w:rsidRPr="00F24302">
        <w:rPr>
          <w:rFonts w:ascii="Times New Roman" w:hAnsi="Times New Roman"/>
          <w:b/>
          <w:sz w:val="24"/>
          <w:szCs w:val="24"/>
          <w:lang w:val="ro-RO"/>
        </w:rPr>
        <w:t xml:space="preserve">    </w:t>
      </w:r>
      <w:r w:rsidRPr="00F24302">
        <w:rPr>
          <w:rFonts w:ascii="Times New Roman" w:hAnsi="Times New Roman"/>
          <w:b/>
          <w:sz w:val="24"/>
          <w:szCs w:val="24"/>
          <w:u w:val="single"/>
          <w:lang w:val="ro-RO"/>
        </w:rPr>
        <w:t>Recomandări:</w:t>
      </w:r>
    </w:p>
    <w:p w:rsidR="00F24302" w:rsidRPr="00F24302" w:rsidRDefault="00F24302" w:rsidP="00F24302">
      <w:pPr>
        <w:pStyle w:val="a9"/>
        <w:numPr>
          <w:ilvl w:val="0"/>
          <w:numId w:val="20"/>
        </w:numPr>
        <w:tabs>
          <w:tab w:val="left" w:pos="0"/>
        </w:tabs>
        <w:ind w:left="0" w:firstLine="426"/>
        <w:jc w:val="both"/>
        <w:rPr>
          <w:lang w:val="ro-RO"/>
        </w:rPr>
      </w:pPr>
      <w:r w:rsidRPr="00F24302">
        <w:rPr>
          <w:b/>
          <w:lang w:val="ro-RO"/>
        </w:rPr>
        <w:lastRenderedPageBreak/>
        <w:t xml:space="preserve">Președintele raionului, șeful SASPF, șeful DE, primarii orașelor Sîngerei și Biruința, satelor/comunelor Alexăndreni, Bălășești, Drăgănești, Chișcăreni, Cubolta, Coșcodeni, Heciul Nou, Iezărenii Vechi, Pepeni, Rădoaia, Sîngereii Noi și directorul Liceului Teoretic „Olimp” din or. Sîngerei: </w:t>
      </w:r>
    </w:p>
    <w:p w:rsidR="00F24302" w:rsidRPr="00F24302" w:rsidRDefault="00F24302" w:rsidP="00F24302">
      <w:pPr>
        <w:pStyle w:val="a9"/>
        <w:numPr>
          <w:ilvl w:val="1"/>
          <w:numId w:val="20"/>
        </w:numPr>
        <w:tabs>
          <w:tab w:val="left" w:pos="0"/>
          <w:tab w:val="left" w:pos="851"/>
        </w:tabs>
        <w:ind w:left="0" w:firstLine="426"/>
        <w:jc w:val="both"/>
        <w:rPr>
          <w:lang w:val="ro-RO"/>
        </w:rPr>
      </w:pPr>
      <w:r w:rsidRPr="00F24302">
        <w:rPr>
          <w:lang w:val="ro-RO"/>
        </w:rPr>
        <w:t>să</w:t>
      </w:r>
      <w:r w:rsidRPr="00F24302">
        <w:rPr>
          <w:bCs/>
          <w:lang w:val="ro-RO"/>
        </w:rPr>
        <w:t xml:space="preserve"> asigure</w:t>
      </w:r>
      <w:r w:rsidRPr="00F24302">
        <w:rPr>
          <w:lang w:val="ro-RO"/>
        </w:rPr>
        <w:t xml:space="preserve"> înlăturarea iregularităților constatate de audit la efectuarea cheltuielilor bugetare (inclusiv din</w:t>
      </w:r>
      <w:r w:rsidRPr="00F24302">
        <w:rPr>
          <w:bCs/>
          <w:lang w:val="ro-RO"/>
        </w:rPr>
        <w:t xml:space="preserve"> domeniile </w:t>
      </w:r>
      <w:r w:rsidRPr="00F24302">
        <w:rPr>
          <w:lang w:val="ro-RO"/>
        </w:rPr>
        <w:t xml:space="preserve">investițiilor capitale și achizițiilor publice, după caz), cu </w:t>
      </w:r>
      <w:r w:rsidRPr="00F24302">
        <w:rPr>
          <w:bCs/>
          <w:lang w:val="ro-RO"/>
        </w:rPr>
        <w:t xml:space="preserve">determinarea gradului de responsabilitate a persoanelor care au admis </w:t>
      </w:r>
      <w:r w:rsidRPr="00F24302">
        <w:rPr>
          <w:lang w:val="ro-RO"/>
        </w:rPr>
        <w:t>nerespectarea prevederilor cadrului legal-normativ în vigoare;</w:t>
      </w:r>
    </w:p>
    <w:p w:rsidR="00F24302" w:rsidRPr="00F24302" w:rsidRDefault="00F24302" w:rsidP="00F24302">
      <w:pPr>
        <w:pStyle w:val="a9"/>
        <w:numPr>
          <w:ilvl w:val="1"/>
          <w:numId w:val="20"/>
        </w:numPr>
        <w:tabs>
          <w:tab w:val="left" w:pos="0"/>
          <w:tab w:val="left" w:pos="851"/>
        </w:tabs>
        <w:ind w:left="0" w:firstLine="426"/>
        <w:jc w:val="both"/>
        <w:rPr>
          <w:lang w:val="ro-RO"/>
        </w:rPr>
      </w:pPr>
      <w:r w:rsidRPr="00F24302">
        <w:rPr>
          <w:bCs/>
          <w:lang w:val="ro-RO"/>
        </w:rPr>
        <w:t>să implementeze procese operaționale și proceduri eficiente de control intern în vederea asigurării utilizării regulamentare a cheltuielilor bugetare.</w:t>
      </w:r>
    </w:p>
    <w:p w:rsidR="00F24302" w:rsidRPr="00F24302" w:rsidRDefault="00F24302" w:rsidP="00F24302">
      <w:pPr>
        <w:pStyle w:val="a9"/>
        <w:numPr>
          <w:ilvl w:val="0"/>
          <w:numId w:val="20"/>
        </w:numPr>
        <w:tabs>
          <w:tab w:val="left" w:pos="0"/>
        </w:tabs>
        <w:ind w:left="0" w:firstLine="426"/>
        <w:jc w:val="both"/>
        <w:rPr>
          <w:lang w:val="ro-RO"/>
        </w:rPr>
      </w:pPr>
      <w:r w:rsidRPr="00F24302">
        <w:rPr>
          <w:b/>
          <w:lang w:val="ro-RO"/>
        </w:rPr>
        <w:t>Președintele raionului</w:t>
      </w:r>
      <w:r w:rsidRPr="00F24302">
        <w:rPr>
          <w:lang w:val="ro-RO"/>
        </w:rPr>
        <w:t>, în conlucrare cu AAPL de nivelul I, să asigure stabilirea priorităților în vederea finanțării lucrărilor de construcții/reparații capitale în curs de execuție, cu identificarea mijloacelor necesare și implementarea măsurilor de rigoare pentru finalizarea lucrărilor.</w:t>
      </w:r>
    </w:p>
    <w:p w:rsidR="00F24302" w:rsidRPr="00F24302" w:rsidRDefault="00F24302" w:rsidP="00F24302">
      <w:pPr>
        <w:pStyle w:val="a9"/>
        <w:numPr>
          <w:ilvl w:val="0"/>
          <w:numId w:val="20"/>
        </w:numPr>
        <w:tabs>
          <w:tab w:val="left" w:pos="0"/>
        </w:tabs>
        <w:spacing w:after="120"/>
        <w:ind w:left="0" w:firstLine="426"/>
        <w:jc w:val="both"/>
        <w:rPr>
          <w:lang w:val="ro-RO"/>
        </w:rPr>
      </w:pPr>
      <w:r w:rsidRPr="00F24302">
        <w:rPr>
          <w:b/>
          <w:lang w:val="ro-RO"/>
        </w:rPr>
        <w:t>Primarul or.Sîngerei</w:t>
      </w:r>
      <w:r w:rsidRPr="00F24302">
        <w:rPr>
          <w:lang w:val="ro-RO"/>
        </w:rPr>
        <w:t xml:space="preserve"> să asigure determinarea indicilor cantitativi și calitativi la recepționarea lucrărilor de amenajare a teritoriului și verificarea executării efective a lucrărilor facturate de agentul economic, cu implementarea unui control intern adecvat în această privință.</w:t>
      </w:r>
    </w:p>
    <w:p w:rsidR="00F24302" w:rsidRPr="00F24302" w:rsidRDefault="00F24302" w:rsidP="00F24302">
      <w:pPr>
        <w:pStyle w:val="a9"/>
        <w:tabs>
          <w:tab w:val="left" w:pos="0"/>
        </w:tabs>
        <w:spacing w:after="120"/>
        <w:ind w:left="0"/>
        <w:jc w:val="both"/>
        <w:rPr>
          <w:lang w:val="ro-RO"/>
        </w:rPr>
      </w:pPr>
    </w:p>
    <w:p w:rsidR="00F24302" w:rsidRPr="00F24302" w:rsidRDefault="00F24302" w:rsidP="00F24302">
      <w:pPr>
        <w:spacing w:before="120" w:after="0" w:line="240" w:lineRule="auto"/>
        <w:ind w:firstLine="567"/>
        <w:jc w:val="center"/>
        <w:rPr>
          <w:rFonts w:ascii="Times New Roman" w:eastAsia="Times New Roman" w:hAnsi="Times New Roman"/>
          <w:b/>
          <w:bCs/>
          <w:sz w:val="24"/>
          <w:szCs w:val="24"/>
          <w:lang w:val="ro-RO" w:eastAsia="ru-RU"/>
        </w:rPr>
      </w:pPr>
      <w:r w:rsidRPr="00F24302">
        <w:rPr>
          <w:rFonts w:ascii="Times New Roman" w:eastAsia="Times New Roman" w:hAnsi="Times New Roman"/>
          <w:b/>
          <w:bCs/>
          <w:sz w:val="24"/>
          <w:szCs w:val="24"/>
          <w:lang w:val="ro-RO" w:eastAsia="ru-RU"/>
        </w:rPr>
        <w:t>III. Evaluarea conformării și implementării cerințelor/recomandărilor anterioare ale Curții de Conturi</w:t>
      </w:r>
    </w:p>
    <w:p w:rsidR="00F24302" w:rsidRPr="00F24302" w:rsidRDefault="00F24302" w:rsidP="00F24302">
      <w:pPr>
        <w:spacing w:after="0" w:line="240" w:lineRule="auto"/>
        <w:ind w:firstLine="567"/>
        <w:jc w:val="both"/>
        <w:rPr>
          <w:rFonts w:ascii="Times New Roman" w:hAnsi="Times New Roman"/>
          <w:sz w:val="24"/>
          <w:szCs w:val="24"/>
          <w:lang w:val="ro-RO"/>
        </w:rPr>
      </w:pPr>
      <w:r w:rsidRPr="00F24302">
        <w:rPr>
          <w:rFonts w:ascii="Times New Roman" w:eastAsia="Times New Roman" w:hAnsi="Times New Roman"/>
          <w:sz w:val="24"/>
          <w:szCs w:val="24"/>
          <w:lang w:val="ro-RO"/>
        </w:rPr>
        <w:t>În 2011,</w:t>
      </w:r>
      <w:r w:rsidRPr="00F24302">
        <w:rPr>
          <w:rFonts w:ascii="Times New Roman" w:eastAsia="Times New Roman" w:hAnsi="Times New Roman"/>
          <w:bCs/>
          <w:iCs/>
          <w:sz w:val="24"/>
          <w:szCs w:val="24"/>
          <w:lang w:val="ro-RO" w:eastAsia="ru-RU"/>
        </w:rPr>
        <w:t xml:space="preserve"> Curtea de Conturi a exercitat auditul asupra</w:t>
      </w:r>
      <w:r w:rsidRPr="00F24302">
        <w:rPr>
          <w:rFonts w:ascii="Times New Roman" w:eastAsia="Times New Roman" w:hAnsi="Times New Roman"/>
          <w:noProof/>
          <w:sz w:val="24"/>
          <w:szCs w:val="24"/>
          <w:lang w:val="ro-RO"/>
        </w:rPr>
        <w:t xml:space="preserve"> </w:t>
      </w:r>
      <w:r w:rsidRPr="00F24302">
        <w:rPr>
          <w:rFonts w:ascii="Times New Roman" w:eastAsia="Times New Roman" w:hAnsi="Times New Roman"/>
          <w:bCs/>
          <w:sz w:val="24"/>
          <w:szCs w:val="24"/>
          <w:lang w:val="ro-RO" w:eastAsia="ru-RU"/>
        </w:rPr>
        <w:t>bugetului raional Sîngerei pe anul 2010 și gestionării patrimoniului public</w:t>
      </w:r>
      <w:r w:rsidRPr="00F24302">
        <w:rPr>
          <w:rFonts w:ascii="Times New Roman" w:eastAsia="Times New Roman" w:hAnsi="Times New Roman"/>
          <w:bCs/>
          <w:iCs/>
          <w:sz w:val="24"/>
          <w:szCs w:val="24"/>
          <w:lang w:val="ro-RO" w:eastAsia="ru-RU"/>
        </w:rPr>
        <w:t xml:space="preserve">, fiind adoptată Hotărîrea nr.73 din 17.11.2011. </w:t>
      </w:r>
      <w:r w:rsidRPr="00F24302">
        <w:rPr>
          <w:rFonts w:ascii="Times New Roman" w:eastAsia="Times New Roman" w:hAnsi="Times New Roman"/>
          <w:sz w:val="24"/>
          <w:szCs w:val="24"/>
          <w:lang w:val="ro-RO"/>
        </w:rPr>
        <w:t xml:space="preserve">În urma verificărilor efectuate la compartimentul respectiv, auditul relevă că AAPL nu au întreprins pe deplin măsurile necesare în vederea remedierii iregularităților constatate anterior, astfel menținînd un management financiar operațional contraperformant, fapt atestat și în prezentul Raport de audit. Astfel, din totalul recomandărilor înaintate, au fost executate 12, iar 9 nefiind executate, ceea ce nu asigură continuitatea în acțiunile de remediere și de perfecționare a managementului financiar. Ca rezultat al verificărilor de audit, a fost relevată persistența acelorași probleme, exprimate prin: </w:t>
      </w:r>
      <w:r w:rsidRPr="00F24302">
        <w:rPr>
          <w:rFonts w:ascii="Times New Roman" w:hAnsi="Times New Roman"/>
          <w:sz w:val="24"/>
          <w:szCs w:val="24"/>
          <w:lang w:val="ro-RO"/>
        </w:rPr>
        <w:t xml:space="preserve"> neasigurarea elaborării veridice a prognozei bugetare pe toate tipurile de venituri fiscale și nefiscale; necalcularea și neîncasarea veniturilor UAT; nerespectarea actelor normative ce reglementează domeniul retribuirea muncii; efectuarea achizițiilor publice cu abateri de la cadrul legal; utilizarea neregulamentară a mijloacelor bugetare la valorificarea investițiilor și reparațiilor capitale, a mijloacelor fondului de rezervă și a mijloacelor publice </w:t>
      </w:r>
      <w:r w:rsidRPr="00F24302">
        <w:rPr>
          <w:rFonts w:ascii="Times New Roman" w:hAnsi="Times New Roman"/>
          <w:color w:val="000000"/>
          <w:sz w:val="24"/>
          <w:szCs w:val="24"/>
          <w:lang w:val="ro-RO"/>
        </w:rPr>
        <w:t>pentru desfășurarea măsurilor culturale;</w:t>
      </w:r>
      <w:r w:rsidRPr="00F24302">
        <w:rPr>
          <w:rFonts w:ascii="Times New Roman" w:hAnsi="Times New Roman"/>
          <w:sz w:val="24"/>
          <w:szCs w:val="24"/>
          <w:lang w:val="ro-RO"/>
        </w:rPr>
        <w:t xml:space="preserve"> neasigurarea integrității patrimoniului public</w:t>
      </w:r>
      <w:r w:rsidRPr="00F24302">
        <w:rPr>
          <w:rFonts w:ascii="Times New Roman" w:hAnsi="Times New Roman"/>
          <w:color w:val="FF0000"/>
          <w:sz w:val="24"/>
          <w:szCs w:val="24"/>
          <w:lang w:val="ro-RO"/>
        </w:rPr>
        <w:t xml:space="preserve"> </w:t>
      </w:r>
      <w:r w:rsidRPr="00F24302">
        <w:rPr>
          <w:rFonts w:ascii="Times New Roman" w:hAnsi="Times New Roman"/>
          <w:sz w:val="24"/>
          <w:szCs w:val="24"/>
          <w:lang w:val="ro-RO"/>
        </w:rPr>
        <w:t>de către entitățile auditate.</w:t>
      </w:r>
    </w:p>
    <w:p w:rsidR="00F24302" w:rsidRPr="00F24302" w:rsidRDefault="00F24302" w:rsidP="00F24302">
      <w:pPr>
        <w:spacing w:after="0" w:line="240" w:lineRule="auto"/>
        <w:ind w:firstLine="567"/>
        <w:jc w:val="both"/>
        <w:rPr>
          <w:rFonts w:ascii="Times New Roman" w:eastAsia="Times New Roman" w:hAnsi="Times New Roman"/>
          <w:sz w:val="24"/>
          <w:szCs w:val="24"/>
          <w:lang w:val="ro-RO"/>
        </w:rPr>
      </w:pPr>
      <w:r w:rsidRPr="00F24302">
        <w:rPr>
          <w:rFonts w:ascii="Times New Roman" w:eastAsia="Times New Roman" w:hAnsi="Times New Roman"/>
          <w:sz w:val="24"/>
          <w:szCs w:val="24"/>
          <w:lang w:val="ro-RO"/>
        </w:rPr>
        <w:t>Reieșind din cele menționate, recomandările anterioare neexecutate de către AAPL au fost actualizate și reiterate în prezentul Raport de audit, pentru o remediere punctuală a neconformităților, precum și diminuarea riscurilor evidențiate.</w:t>
      </w:r>
    </w:p>
    <w:p w:rsidR="00F24302" w:rsidRPr="00F24302" w:rsidRDefault="00F24302" w:rsidP="00F24302">
      <w:pPr>
        <w:spacing w:after="0" w:line="240" w:lineRule="auto"/>
        <w:ind w:firstLine="567"/>
        <w:jc w:val="both"/>
        <w:rPr>
          <w:rFonts w:ascii="Times New Roman" w:eastAsia="Times New Roman" w:hAnsi="Times New Roman"/>
          <w:sz w:val="24"/>
          <w:szCs w:val="24"/>
          <w:lang w:val="ro-RO"/>
        </w:rPr>
      </w:pPr>
    </w:p>
    <w:p w:rsidR="00F24302" w:rsidRPr="00F24302" w:rsidRDefault="00F24302" w:rsidP="00F24302">
      <w:pPr>
        <w:spacing w:after="0" w:line="240" w:lineRule="auto"/>
        <w:jc w:val="center"/>
        <w:rPr>
          <w:rFonts w:ascii="Times New Roman" w:eastAsia="Times New Roman" w:hAnsi="Times New Roman"/>
          <w:b/>
          <w:bCs/>
          <w:sz w:val="24"/>
          <w:szCs w:val="24"/>
          <w:lang w:val="ro-RO" w:eastAsia="ru-RU"/>
        </w:rPr>
      </w:pPr>
      <w:r w:rsidRPr="00F24302">
        <w:rPr>
          <w:rFonts w:ascii="Times New Roman" w:eastAsia="Times New Roman" w:hAnsi="Times New Roman"/>
          <w:b/>
          <w:bCs/>
          <w:sz w:val="24"/>
          <w:szCs w:val="24"/>
          <w:lang w:val="ro-RO" w:eastAsia="ru-RU"/>
        </w:rPr>
        <w:t>IV. CONCLUZII GENERALE DE AUDIT</w:t>
      </w:r>
    </w:p>
    <w:p w:rsidR="00F24302" w:rsidRPr="00F24302" w:rsidRDefault="00F24302" w:rsidP="00F24302">
      <w:pPr>
        <w:spacing w:after="0" w:line="240" w:lineRule="auto"/>
        <w:ind w:firstLine="709"/>
        <w:jc w:val="both"/>
        <w:rPr>
          <w:rFonts w:ascii="Times New Roman" w:eastAsia="Times New Roman" w:hAnsi="Times New Roman"/>
          <w:bCs/>
          <w:strike/>
          <w:sz w:val="24"/>
          <w:szCs w:val="24"/>
          <w:lang w:val="ro-RO" w:eastAsia="ru-RU"/>
        </w:rPr>
      </w:pPr>
      <w:r w:rsidRPr="00F24302">
        <w:rPr>
          <w:rFonts w:ascii="Times New Roman" w:eastAsia="Times New Roman" w:hAnsi="Times New Roman"/>
          <w:bCs/>
          <w:sz w:val="24"/>
          <w:szCs w:val="24"/>
          <w:lang w:val="ro-RO" w:eastAsia="ru-RU"/>
        </w:rPr>
        <w:t>Misiunea de audit rezumă că administrațiile autorităților publice locale de toate nivelurile din raion nu dispun de o agendă de acțiuni pentru asigurarea managementului instituțional și financiar. Deficitul de experiență, abilitățile profesionale neadecvate, precum și atenția necorespunzătoare din partea autorităților superioare de resort se resimt foarte pronunțat în cadrul decizional de nivel local. Aceste derapaje influențează,s în primul rînd, asupra solvabilității finanțelor locale, al căror deficit este o consecință a neidentificării și neîncasării integrale</w:t>
      </w:r>
      <w:r w:rsidRPr="00F24302">
        <w:rPr>
          <w:rFonts w:ascii="Times New Roman" w:eastAsia="Times New Roman" w:hAnsi="Times New Roman"/>
          <w:sz w:val="24"/>
          <w:szCs w:val="24"/>
          <w:lang w:val="ro-RO" w:eastAsia="ru-RU"/>
        </w:rPr>
        <w:t xml:space="preserve"> a veniturilor destinate bugetelor UAT.</w:t>
      </w:r>
    </w:p>
    <w:p w:rsidR="00F24302" w:rsidRPr="00F24302" w:rsidRDefault="00F24302" w:rsidP="00F24302">
      <w:pPr>
        <w:spacing w:after="0" w:line="240" w:lineRule="auto"/>
        <w:ind w:firstLine="567"/>
        <w:jc w:val="both"/>
        <w:rPr>
          <w:rFonts w:ascii="Times New Roman" w:hAnsi="Times New Roman"/>
          <w:sz w:val="24"/>
          <w:szCs w:val="24"/>
          <w:lang w:val="ro-RO"/>
        </w:rPr>
      </w:pPr>
      <w:r w:rsidRPr="00F24302">
        <w:rPr>
          <w:rFonts w:ascii="Times New Roman" w:hAnsi="Times New Roman"/>
          <w:sz w:val="24"/>
          <w:szCs w:val="24"/>
          <w:lang w:val="ro-RO"/>
        </w:rPr>
        <w:t>Urmare a nerespectării principiilor de bună guvernare, auditul a elucidat iregularități în materie de disciplină financiară la gestionarea cheltuielilor din bugetele UAT, care s-au soldat cu: achitarea neregulamentară a plăților salariale; denaturarea datelor din dările de seamă; încălcarea procedurilor la achizițiile de mărfuri și servicii; efectuarea de cheltuieli neregulamentare pentru investiții și reparații capitale,</w:t>
      </w:r>
      <w:r w:rsidRPr="00F24302">
        <w:rPr>
          <w:rFonts w:ascii="Times New Roman" w:eastAsia="Times New Roman" w:hAnsi="Times New Roman"/>
          <w:sz w:val="24"/>
          <w:szCs w:val="24"/>
          <w:lang w:val="ro-RO" w:eastAsia="ru-RU"/>
        </w:rPr>
        <w:t xml:space="preserve"> astfel nefiind asigurată eficiența utilizării banului public</w:t>
      </w:r>
      <w:r w:rsidRPr="00F24302">
        <w:rPr>
          <w:rFonts w:ascii="Times New Roman" w:hAnsi="Times New Roman"/>
          <w:sz w:val="24"/>
          <w:szCs w:val="24"/>
          <w:lang w:val="ro-RO"/>
        </w:rPr>
        <w:t>.</w:t>
      </w:r>
    </w:p>
    <w:p w:rsidR="00F24302" w:rsidRPr="00F24302" w:rsidRDefault="00F24302" w:rsidP="00F24302">
      <w:pPr>
        <w:spacing w:after="0" w:line="240" w:lineRule="auto"/>
        <w:ind w:firstLine="567"/>
        <w:jc w:val="both"/>
        <w:rPr>
          <w:rFonts w:ascii="Times New Roman" w:hAnsi="Times New Roman"/>
          <w:sz w:val="24"/>
          <w:szCs w:val="24"/>
          <w:lang w:val="ro-R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21"/>
        <w:gridCol w:w="4833"/>
      </w:tblGrid>
      <w:tr w:rsidR="00F24302" w:rsidRPr="00F24302" w:rsidTr="006B6AE0">
        <w:trPr>
          <w:tblCellSpacing w:w="15" w:type="dxa"/>
        </w:trPr>
        <w:tc>
          <w:tcPr>
            <w:tcW w:w="0" w:type="auto"/>
            <w:tcBorders>
              <w:top w:val="nil"/>
              <w:left w:val="nil"/>
              <w:bottom w:val="nil"/>
              <w:right w:val="nil"/>
            </w:tcBorders>
            <w:tcMar>
              <w:top w:w="15" w:type="dxa"/>
              <w:left w:w="45" w:type="dxa"/>
              <w:bottom w:w="15" w:type="dxa"/>
              <w:right w:w="45" w:type="dxa"/>
            </w:tcMar>
            <w:hideMark/>
          </w:tcPr>
          <w:p w:rsidR="00F24302" w:rsidRPr="00F24302" w:rsidRDefault="00F24302" w:rsidP="006B6AE0">
            <w:pPr>
              <w:spacing w:after="0" w:line="240" w:lineRule="auto"/>
              <w:ind w:left="567"/>
              <w:rPr>
                <w:rFonts w:ascii="Times New Roman" w:eastAsia="Times New Roman" w:hAnsi="Times New Roman"/>
                <w:b/>
                <w:bCs/>
                <w:i/>
                <w:sz w:val="24"/>
                <w:szCs w:val="24"/>
                <w:lang w:val="ro-RO"/>
              </w:rPr>
            </w:pPr>
            <w:r w:rsidRPr="00F24302">
              <w:rPr>
                <w:rFonts w:ascii="Times New Roman" w:eastAsia="Times New Roman" w:hAnsi="Times New Roman"/>
                <w:b/>
                <w:bCs/>
                <w:i/>
                <w:sz w:val="24"/>
                <w:szCs w:val="24"/>
                <w:lang w:val="ro-RO"/>
              </w:rPr>
              <w:lastRenderedPageBreak/>
              <w:t xml:space="preserve">Echipa de audit: </w:t>
            </w:r>
          </w:p>
        </w:tc>
        <w:tc>
          <w:tcPr>
            <w:tcW w:w="2584" w:type="pct"/>
            <w:vAlign w:val="center"/>
            <w:hideMark/>
          </w:tcPr>
          <w:p w:rsidR="00F24302" w:rsidRPr="00F24302" w:rsidRDefault="00F24302" w:rsidP="006B6AE0">
            <w:pPr>
              <w:spacing w:after="0" w:line="240" w:lineRule="auto"/>
              <w:ind w:left="567"/>
              <w:jc w:val="both"/>
              <w:rPr>
                <w:rFonts w:ascii="Times New Roman" w:eastAsia="Times New Roman" w:hAnsi="Times New Roman"/>
                <w:sz w:val="24"/>
                <w:szCs w:val="24"/>
                <w:lang w:val="ro-RO"/>
              </w:rPr>
            </w:pPr>
          </w:p>
        </w:tc>
      </w:tr>
      <w:tr w:rsidR="00F24302" w:rsidRPr="00F24302" w:rsidTr="006B6AE0">
        <w:trPr>
          <w:tblCellSpacing w:w="15" w:type="dxa"/>
        </w:trPr>
        <w:tc>
          <w:tcPr>
            <w:tcW w:w="0" w:type="auto"/>
            <w:tcBorders>
              <w:top w:val="nil"/>
              <w:left w:val="nil"/>
              <w:bottom w:val="nil"/>
              <w:right w:val="nil"/>
            </w:tcBorders>
            <w:tcMar>
              <w:top w:w="15" w:type="dxa"/>
              <w:left w:w="45" w:type="dxa"/>
              <w:bottom w:w="15" w:type="dxa"/>
              <w:right w:w="45" w:type="dxa"/>
            </w:tcMar>
            <w:hideMark/>
          </w:tcPr>
          <w:p w:rsidR="00F24302" w:rsidRPr="00F24302" w:rsidRDefault="00F24302" w:rsidP="006B6AE0">
            <w:pPr>
              <w:spacing w:after="0" w:line="240" w:lineRule="auto"/>
              <w:ind w:left="567"/>
              <w:rPr>
                <w:rFonts w:ascii="Times New Roman" w:eastAsia="Times New Roman" w:hAnsi="Times New Roman"/>
                <w:bCs/>
                <w:sz w:val="24"/>
                <w:szCs w:val="24"/>
                <w:lang w:val="ro-RO"/>
              </w:rPr>
            </w:pPr>
            <w:r w:rsidRPr="00F24302">
              <w:rPr>
                <w:rFonts w:ascii="Times New Roman" w:eastAsia="Times New Roman" w:hAnsi="Times New Roman"/>
                <w:bCs/>
                <w:sz w:val="24"/>
                <w:szCs w:val="24"/>
                <w:lang w:val="ro-RO"/>
              </w:rPr>
              <w:t xml:space="preserve">Controlor de stat superior/auditor public, șeful echipei      </w:t>
            </w:r>
          </w:p>
        </w:tc>
        <w:tc>
          <w:tcPr>
            <w:tcW w:w="2584" w:type="pct"/>
            <w:vAlign w:val="center"/>
            <w:hideMark/>
          </w:tcPr>
          <w:p w:rsidR="00F24302" w:rsidRPr="00F24302" w:rsidRDefault="00F24302" w:rsidP="006B6AE0">
            <w:pPr>
              <w:spacing w:after="0" w:line="240" w:lineRule="auto"/>
              <w:ind w:left="567"/>
              <w:jc w:val="both"/>
              <w:rPr>
                <w:rFonts w:ascii="Times New Roman" w:eastAsia="Times New Roman" w:hAnsi="Times New Roman"/>
                <w:sz w:val="24"/>
                <w:szCs w:val="24"/>
                <w:lang w:val="ro-RO"/>
              </w:rPr>
            </w:pPr>
          </w:p>
          <w:p w:rsidR="00F24302" w:rsidRPr="00F24302" w:rsidRDefault="00F24302" w:rsidP="006B6AE0">
            <w:pPr>
              <w:spacing w:after="0" w:line="240" w:lineRule="auto"/>
              <w:ind w:left="567"/>
              <w:jc w:val="both"/>
              <w:rPr>
                <w:rFonts w:ascii="Times New Roman" w:eastAsia="Times New Roman" w:hAnsi="Times New Roman"/>
                <w:sz w:val="24"/>
                <w:szCs w:val="24"/>
                <w:lang w:val="ro-RO"/>
              </w:rPr>
            </w:pPr>
            <w:r w:rsidRPr="00F24302">
              <w:rPr>
                <w:rFonts w:ascii="Times New Roman" w:eastAsia="Times New Roman" w:hAnsi="Times New Roman"/>
                <w:sz w:val="24"/>
                <w:szCs w:val="24"/>
                <w:lang w:val="ro-RO"/>
              </w:rPr>
              <w:t xml:space="preserve">    Dorin Ciubotaru</w:t>
            </w:r>
          </w:p>
        </w:tc>
      </w:tr>
      <w:tr w:rsidR="00F24302" w:rsidRPr="00F24302" w:rsidTr="006B6AE0">
        <w:trPr>
          <w:tblCellSpacing w:w="15" w:type="dxa"/>
        </w:trPr>
        <w:tc>
          <w:tcPr>
            <w:tcW w:w="0" w:type="auto"/>
            <w:tcBorders>
              <w:top w:val="nil"/>
              <w:left w:val="nil"/>
              <w:bottom w:val="nil"/>
              <w:right w:val="nil"/>
            </w:tcBorders>
            <w:tcMar>
              <w:top w:w="15" w:type="dxa"/>
              <w:left w:w="45" w:type="dxa"/>
              <w:bottom w:w="15" w:type="dxa"/>
              <w:right w:w="45" w:type="dxa"/>
            </w:tcMar>
            <w:hideMark/>
          </w:tcPr>
          <w:p w:rsidR="00F24302" w:rsidRPr="00F24302" w:rsidRDefault="00F24302" w:rsidP="006B6AE0">
            <w:pPr>
              <w:spacing w:after="0" w:line="240" w:lineRule="auto"/>
              <w:ind w:left="567"/>
              <w:rPr>
                <w:rFonts w:ascii="Times New Roman" w:eastAsia="Times New Roman" w:hAnsi="Times New Roman"/>
                <w:bCs/>
                <w:sz w:val="24"/>
                <w:szCs w:val="24"/>
                <w:lang w:val="ro-RO"/>
              </w:rPr>
            </w:pPr>
            <w:r w:rsidRPr="00F24302">
              <w:rPr>
                <w:rFonts w:ascii="Times New Roman" w:eastAsia="Times New Roman" w:hAnsi="Times New Roman"/>
                <w:bCs/>
                <w:sz w:val="24"/>
                <w:szCs w:val="24"/>
                <w:lang w:val="ro-RO"/>
              </w:rPr>
              <w:t>Controlor de stat/auditor public</w:t>
            </w:r>
          </w:p>
        </w:tc>
        <w:tc>
          <w:tcPr>
            <w:tcW w:w="2584" w:type="pct"/>
            <w:tcBorders>
              <w:top w:val="nil"/>
              <w:left w:val="nil"/>
              <w:bottom w:val="nil"/>
              <w:right w:val="nil"/>
            </w:tcBorders>
            <w:tcMar>
              <w:top w:w="15" w:type="dxa"/>
              <w:left w:w="45" w:type="dxa"/>
              <w:bottom w:w="15" w:type="dxa"/>
              <w:right w:w="45" w:type="dxa"/>
            </w:tcMar>
            <w:hideMark/>
          </w:tcPr>
          <w:p w:rsidR="00F24302" w:rsidRPr="00F24302" w:rsidRDefault="00F24302" w:rsidP="006B6AE0">
            <w:pPr>
              <w:spacing w:after="0" w:line="240" w:lineRule="auto"/>
              <w:ind w:left="567"/>
              <w:rPr>
                <w:rFonts w:ascii="Times New Roman" w:eastAsia="Times New Roman" w:hAnsi="Times New Roman"/>
                <w:bCs/>
                <w:sz w:val="24"/>
                <w:szCs w:val="24"/>
                <w:lang w:val="ro-RO"/>
              </w:rPr>
            </w:pPr>
            <w:r w:rsidRPr="00F24302">
              <w:rPr>
                <w:rFonts w:ascii="Times New Roman" w:eastAsia="Times New Roman" w:hAnsi="Times New Roman"/>
                <w:bCs/>
                <w:sz w:val="24"/>
                <w:szCs w:val="24"/>
                <w:lang w:val="ro-RO"/>
              </w:rPr>
              <w:t xml:space="preserve">    Igor Lungu</w:t>
            </w:r>
          </w:p>
        </w:tc>
      </w:tr>
      <w:tr w:rsidR="00F24302" w:rsidRPr="00F24302" w:rsidTr="006B6AE0">
        <w:trPr>
          <w:tblCellSpacing w:w="15" w:type="dxa"/>
        </w:trPr>
        <w:tc>
          <w:tcPr>
            <w:tcW w:w="0" w:type="auto"/>
            <w:tcBorders>
              <w:top w:val="nil"/>
              <w:left w:val="nil"/>
              <w:bottom w:val="nil"/>
              <w:right w:val="nil"/>
            </w:tcBorders>
            <w:tcMar>
              <w:top w:w="15" w:type="dxa"/>
              <w:left w:w="45" w:type="dxa"/>
              <w:bottom w:w="15" w:type="dxa"/>
              <w:right w:w="45" w:type="dxa"/>
            </w:tcMar>
            <w:hideMark/>
          </w:tcPr>
          <w:p w:rsidR="00F24302" w:rsidRPr="00F24302" w:rsidRDefault="00F24302" w:rsidP="006B6AE0">
            <w:pPr>
              <w:spacing w:after="0" w:line="240" w:lineRule="auto"/>
              <w:ind w:left="567"/>
              <w:rPr>
                <w:rFonts w:ascii="Times New Roman" w:eastAsia="Times New Roman" w:hAnsi="Times New Roman"/>
                <w:bCs/>
                <w:sz w:val="24"/>
                <w:szCs w:val="24"/>
                <w:lang w:val="ro-RO"/>
              </w:rPr>
            </w:pPr>
            <w:r w:rsidRPr="00F24302">
              <w:rPr>
                <w:rFonts w:ascii="Times New Roman" w:eastAsia="Times New Roman" w:hAnsi="Times New Roman"/>
                <w:bCs/>
                <w:sz w:val="24"/>
                <w:szCs w:val="24"/>
                <w:lang w:val="ro-RO"/>
              </w:rPr>
              <w:t>Controlor de stat/auditor public</w:t>
            </w:r>
          </w:p>
        </w:tc>
        <w:tc>
          <w:tcPr>
            <w:tcW w:w="2584" w:type="pct"/>
            <w:tcBorders>
              <w:top w:val="nil"/>
              <w:left w:val="nil"/>
              <w:bottom w:val="nil"/>
              <w:right w:val="nil"/>
            </w:tcBorders>
            <w:tcMar>
              <w:top w:w="15" w:type="dxa"/>
              <w:left w:w="45" w:type="dxa"/>
              <w:bottom w:w="15" w:type="dxa"/>
              <w:right w:w="45" w:type="dxa"/>
            </w:tcMar>
            <w:hideMark/>
          </w:tcPr>
          <w:p w:rsidR="00F24302" w:rsidRPr="00F24302" w:rsidRDefault="00F24302" w:rsidP="006B6AE0">
            <w:pPr>
              <w:spacing w:after="0" w:line="240" w:lineRule="auto"/>
              <w:ind w:left="567"/>
              <w:jc w:val="both"/>
              <w:rPr>
                <w:rFonts w:ascii="Times New Roman" w:eastAsia="Times New Roman" w:hAnsi="Times New Roman"/>
                <w:bCs/>
                <w:sz w:val="24"/>
                <w:szCs w:val="24"/>
                <w:lang w:val="ro-RO"/>
              </w:rPr>
            </w:pPr>
            <w:r w:rsidRPr="00F24302">
              <w:rPr>
                <w:rFonts w:ascii="Times New Roman" w:eastAsia="Times New Roman" w:hAnsi="Times New Roman"/>
                <w:bCs/>
                <w:sz w:val="24"/>
                <w:szCs w:val="24"/>
                <w:lang w:val="ro-RO"/>
              </w:rPr>
              <w:t xml:space="preserve">    Alexandru Răileanu</w:t>
            </w:r>
          </w:p>
        </w:tc>
      </w:tr>
    </w:tbl>
    <w:p w:rsidR="00F24302" w:rsidRPr="00F24302" w:rsidRDefault="00F24302" w:rsidP="00F24302">
      <w:pPr>
        <w:spacing w:after="200" w:line="276" w:lineRule="auto"/>
        <w:ind w:left="567"/>
        <w:jc w:val="both"/>
        <w:rPr>
          <w:rFonts w:ascii="Times New Roman" w:hAnsi="Times New Roman"/>
          <w:sz w:val="24"/>
          <w:szCs w:val="24"/>
          <w:lang w:val="ro-RO"/>
        </w:rPr>
      </w:pPr>
    </w:p>
    <w:p w:rsidR="00F24302" w:rsidRPr="00121F51" w:rsidRDefault="00F24302" w:rsidP="00F24302">
      <w:pPr>
        <w:spacing w:after="0" w:line="240" w:lineRule="auto"/>
        <w:jc w:val="right"/>
        <w:rPr>
          <w:rFonts w:ascii="Times New Roman" w:eastAsia="Times New Roman" w:hAnsi="Times New Roman"/>
          <w:b/>
          <w:sz w:val="24"/>
          <w:szCs w:val="24"/>
          <w:lang w:val="ro-RO" w:eastAsia="ru-RU"/>
        </w:rPr>
      </w:pPr>
      <w:r w:rsidRPr="00121F51">
        <w:rPr>
          <w:rFonts w:ascii="Times New Roman" w:eastAsia="Times New Roman" w:hAnsi="Times New Roman"/>
          <w:b/>
          <w:sz w:val="24"/>
          <w:szCs w:val="24"/>
          <w:lang w:val="ro-RO" w:eastAsia="ru-RU"/>
        </w:rPr>
        <w:t>Anexa nr.1</w:t>
      </w:r>
    </w:p>
    <w:p w:rsidR="00F24302" w:rsidRPr="00121F51" w:rsidRDefault="00F24302" w:rsidP="00F24302">
      <w:pPr>
        <w:spacing w:after="0" w:line="240" w:lineRule="auto"/>
        <w:ind w:firstLine="567"/>
        <w:jc w:val="right"/>
        <w:rPr>
          <w:rFonts w:ascii="Times New Roman" w:eastAsia="Times New Roman" w:hAnsi="Times New Roman"/>
          <w:b/>
          <w:sz w:val="28"/>
          <w:szCs w:val="28"/>
          <w:lang w:val="ro-RO" w:eastAsia="ru-RU"/>
        </w:rPr>
      </w:pPr>
    </w:p>
    <w:p w:rsidR="00F24302" w:rsidRPr="00121F51" w:rsidRDefault="00F24302" w:rsidP="00F24302">
      <w:pPr>
        <w:spacing w:after="0" w:line="240" w:lineRule="auto"/>
        <w:jc w:val="center"/>
        <w:rPr>
          <w:rFonts w:ascii="Times New Roman" w:eastAsia="Times New Roman" w:hAnsi="Times New Roman"/>
          <w:b/>
          <w:sz w:val="24"/>
          <w:szCs w:val="24"/>
          <w:lang w:val="ro-RO" w:eastAsia="ru-RU"/>
        </w:rPr>
      </w:pPr>
      <w:r w:rsidRPr="00121F51">
        <w:rPr>
          <w:rFonts w:ascii="Times New Roman" w:eastAsia="Times New Roman" w:hAnsi="Times New Roman"/>
          <w:b/>
          <w:sz w:val="24"/>
          <w:szCs w:val="24"/>
          <w:lang w:val="ro-RO" w:eastAsia="ru-RU"/>
        </w:rPr>
        <w:t>Informații succinte privind raionul Sîngerei,</w:t>
      </w:r>
      <w:r w:rsidRPr="00121F51">
        <w:rPr>
          <w:rFonts w:ascii="Times New Roman" w:eastAsia="Times New Roman" w:hAnsi="Times New Roman"/>
          <w:b/>
          <w:bCs/>
          <w:sz w:val="24"/>
          <w:szCs w:val="24"/>
          <w:lang w:val="ro-RO" w:eastAsia="ru-RU"/>
        </w:rPr>
        <w:t xml:space="preserve"> cadrul normativ-legislativ relevant</w:t>
      </w:r>
      <w:r w:rsidRPr="00121F51">
        <w:rPr>
          <w:rFonts w:ascii="Times New Roman" w:eastAsia="Times New Roman" w:hAnsi="Times New Roman"/>
          <w:b/>
          <w:sz w:val="24"/>
          <w:szCs w:val="24"/>
          <w:lang w:val="ro-RO" w:eastAsia="ru-RU"/>
        </w:rPr>
        <w:t xml:space="preserve"> (bazele juridice, organizatorice, financiare de constituire și utilizare a bugetului raionului, evidența contabilă în autoritățile publice supuse auditării) și derularea procesului bugetar</w:t>
      </w:r>
    </w:p>
    <w:p w:rsidR="00F24302" w:rsidRPr="00121F51" w:rsidRDefault="00F24302" w:rsidP="00F24302">
      <w:pPr>
        <w:spacing w:after="0" w:line="240" w:lineRule="auto"/>
        <w:jc w:val="both"/>
        <w:rPr>
          <w:rFonts w:ascii="Times New Roman" w:eastAsia="Times New Roman" w:hAnsi="Times New Roman"/>
          <w:b/>
          <w:bCs/>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7408"/>
      </w:tblGrid>
      <w:tr w:rsidR="00F24302" w:rsidRPr="003D14BB" w:rsidTr="006B6AE0">
        <w:tc>
          <w:tcPr>
            <w:tcW w:w="19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eastAsia="Times New Roman" w:hAnsi="Times New Roman"/>
                <w:i/>
                <w:lang w:val="ro-RO" w:eastAsia="ru-RU"/>
              </w:rPr>
            </w:pPr>
            <w:r w:rsidRPr="00121F51">
              <w:rPr>
                <w:rFonts w:ascii="Times New Roman" w:eastAsia="Times New Roman" w:hAnsi="Times New Roman"/>
                <w:i/>
                <w:lang w:val="ro-RO" w:eastAsia="ru-RU"/>
              </w:rPr>
              <w:t>Informații generale privind raionul Sîngerei</w:t>
            </w:r>
          </w:p>
        </w:tc>
        <w:tc>
          <w:tcPr>
            <w:tcW w:w="751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firstLine="317"/>
              <w:jc w:val="both"/>
              <w:rPr>
                <w:rFonts w:ascii="Times New Roman" w:eastAsia="Times New Roman" w:hAnsi="Times New Roman"/>
                <w:bCs/>
                <w:lang w:val="ro-RO" w:eastAsia="ru-RU"/>
              </w:rPr>
            </w:pPr>
            <w:r w:rsidRPr="00121F51">
              <w:rPr>
                <w:rFonts w:ascii="Times New Roman" w:eastAsia="Times New Roman" w:hAnsi="Times New Roman"/>
                <w:bCs/>
                <w:lang w:val="ro-RO" w:eastAsia="ru-RU"/>
              </w:rPr>
              <w:t>Raionul Sîngerei are o suprafață totală de 103,4 mii ha, din care: 13,3 mii ha – terenuri proprietate publică a statului; 29,8 mii ha – terenuri proprietate publică a UAT; 60,3 mii ha – terenuri aflate în proprietate privată. Populația raionului  constituie 85</w:t>
            </w:r>
            <w:r>
              <w:rPr>
                <w:rFonts w:ascii="Times New Roman" w:eastAsia="Times New Roman" w:hAnsi="Times New Roman"/>
                <w:bCs/>
                <w:lang w:val="ro-RO" w:eastAsia="ru-RU"/>
              </w:rPr>
              <w:t>,</w:t>
            </w:r>
            <w:r w:rsidRPr="00121F51">
              <w:rPr>
                <w:rFonts w:ascii="Times New Roman" w:eastAsia="Times New Roman" w:hAnsi="Times New Roman"/>
                <w:bCs/>
                <w:lang w:val="ro-RO" w:eastAsia="ru-RU"/>
              </w:rPr>
              <w:t>3</w:t>
            </w:r>
            <w:r>
              <w:rPr>
                <w:rFonts w:ascii="Times New Roman" w:eastAsia="Times New Roman" w:hAnsi="Times New Roman"/>
                <w:bCs/>
                <w:lang w:val="ro-RO" w:eastAsia="ru-RU"/>
              </w:rPr>
              <w:t xml:space="preserve"> mii</w:t>
            </w:r>
            <w:r w:rsidRPr="00121F51">
              <w:rPr>
                <w:rFonts w:ascii="Times New Roman" w:eastAsia="Times New Roman" w:hAnsi="Times New Roman"/>
                <w:bCs/>
                <w:lang w:val="ro-RO" w:eastAsia="ru-RU"/>
              </w:rPr>
              <w:t xml:space="preserve"> locuitori.  </w:t>
            </w:r>
          </w:p>
          <w:p w:rsidR="00F24302" w:rsidRPr="00121F51" w:rsidRDefault="00F24302" w:rsidP="006B6AE0">
            <w:pPr>
              <w:spacing w:after="0" w:line="240" w:lineRule="auto"/>
              <w:ind w:firstLine="317"/>
              <w:jc w:val="both"/>
              <w:rPr>
                <w:rFonts w:ascii="Times New Roman" w:eastAsia="Times New Roman" w:hAnsi="Times New Roman"/>
                <w:bCs/>
                <w:lang w:val="ro-RO" w:eastAsia="ru-RU"/>
              </w:rPr>
            </w:pPr>
            <w:r w:rsidRPr="00121F51">
              <w:rPr>
                <w:rFonts w:ascii="Times New Roman" w:eastAsia="Times New Roman" w:hAnsi="Times New Roman"/>
                <w:bCs/>
                <w:lang w:val="ro-RO" w:eastAsia="ru-RU"/>
              </w:rPr>
              <w:t xml:space="preserve">Administrația publică locală a raionului </w:t>
            </w:r>
            <w:r>
              <w:rPr>
                <w:rFonts w:ascii="Times New Roman" w:eastAsia="Times New Roman" w:hAnsi="Times New Roman"/>
                <w:bCs/>
                <w:lang w:val="ro-RO" w:eastAsia="ru-RU"/>
              </w:rPr>
              <w:t>Sîngerei</w:t>
            </w:r>
            <w:r w:rsidRPr="00121F51">
              <w:rPr>
                <w:rFonts w:ascii="Times New Roman" w:eastAsia="Times New Roman" w:hAnsi="Times New Roman"/>
                <w:bCs/>
                <w:lang w:val="ro-RO" w:eastAsia="ru-RU"/>
              </w:rPr>
              <w:t>, care este formată în baza Legii privind organizarea administrativ-teritorială a Republicii Moldova</w:t>
            </w:r>
            <w:r w:rsidRPr="00121F51">
              <w:rPr>
                <w:rFonts w:ascii="Times New Roman" w:eastAsia="Times New Roman" w:hAnsi="Times New Roman"/>
                <w:bCs/>
                <w:vertAlign w:val="superscript"/>
                <w:lang w:val="ro-RO" w:eastAsia="ru-RU"/>
              </w:rPr>
              <w:footnoteReference w:id="72"/>
            </w:r>
            <w:r w:rsidRPr="00121F51">
              <w:rPr>
                <w:rFonts w:ascii="Times New Roman" w:eastAsia="Times New Roman" w:hAnsi="Times New Roman"/>
                <w:bCs/>
                <w:lang w:val="ro-RO" w:eastAsia="ru-RU"/>
              </w:rPr>
              <w:t xml:space="preserve"> și activează, conform Legii privind administrația publică locală, sub propria responsabilitate și în interesul populației locale, administrează o parte importantă din necesitățile colectivității locale.</w:t>
            </w:r>
          </w:p>
          <w:p w:rsidR="00F24302" w:rsidRPr="00121F51" w:rsidRDefault="00F24302" w:rsidP="006B6AE0">
            <w:pPr>
              <w:spacing w:after="0" w:line="240" w:lineRule="auto"/>
              <w:ind w:firstLine="317"/>
              <w:jc w:val="both"/>
              <w:rPr>
                <w:rFonts w:ascii="Times New Roman" w:eastAsia="Times New Roman" w:hAnsi="Times New Roman"/>
                <w:bCs/>
                <w:lang w:val="ro-RO" w:eastAsia="ru-RU"/>
              </w:rPr>
            </w:pPr>
            <w:r w:rsidRPr="00121F51">
              <w:rPr>
                <w:rFonts w:ascii="Times New Roman" w:eastAsia="Times New Roman" w:hAnsi="Times New Roman"/>
                <w:bCs/>
                <w:lang w:val="ro-RO" w:eastAsia="ru-RU"/>
              </w:rPr>
              <w:t>Raionul este persoană juridică de drept public și dispune, în condițiile</w:t>
            </w:r>
            <w:r w:rsidRPr="00121F51">
              <w:rPr>
                <w:rFonts w:ascii="Times New Roman" w:eastAsia="Times New Roman" w:hAnsi="Times New Roman"/>
                <w:b/>
                <w:bCs/>
                <w:lang w:val="ro-RO" w:eastAsia="ru-RU"/>
              </w:rPr>
              <w:t xml:space="preserve"> </w:t>
            </w:r>
            <w:r w:rsidRPr="00121F51">
              <w:rPr>
                <w:rFonts w:ascii="Times New Roman" w:eastAsia="Times New Roman" w:hAnsi="Times New Roman"/>
                <w:bCs/>
                <w:lang w:val="ro-RO" w:eastAsia="ru-RU"/>
              </w:rPr>
              <w:t>legii, de un patrimoniu distinct de cel al statului și al altor UAT. AAPL din raion beneficiază de autonomie financiară, au dreptul la inițiativă în ceea ce privește administrarea treburilor publice locale, își exercită autoritatea în limitele teritoriului administrat şi în condițiile autonomiei locale. Pornind de la domeniile de activitate ale AAPL, stabilite prin Legea nr.435-XVI din 28.12.2006</w:t>
            </w:r>
            <w:r w:rsidRPr="00121F51">
              <w:rPr>
                <w:rFonts w:ascii="Times New Roman" w:hAnsi="Times New Roman"/>
                <w:bCs/>
                <w:vertAlign w:val="superscript"/>
                <w:lang w:val="ro-RO" w:eastAsia="ru-RU"/>
              </w:rPr>
              <w:footnoteReference w:id="73"/>
            </w:r>
            <w:r w:rsidRPr="00121F51">
              <w:rPr>
                <w:rFonts w:ascii="Times New Roman" w:eastAsia="Times New Roman" w:hAnsi="Times New Roman"/>
                <w:bCs/>
                <w:lang w:val="ro-RO" w:eastAsia="ru-RU"/>
              </w:rPr>
              <w:t xml:space="preserve">, competențele și responsabilitățile AAPL sînt divizate în două niveluri: nivelul I – competențele autorităților publice care sînt constituite și activează pe teritoriul orașului, comunei sau satului, pentru promovarea intereselor și soluționarea problemelor colectivităților locale (consiliile locale – ca autorități deliberative, și primăriile – ca autorități executive); nivelul II – competențele autorităților publice care sînt constituite şi activează pe teritoriul raionului pentru promovarea intereselor și soluționarea problemelor populației UAT (CR și președintele raionului). </w:t>
            </w:r>
          </w:p>
          <w:p w:rsidR="00F24302" w:rsidRPr="00121F51" w:rsidRDefault="00F24302" w:rsidP="006B6AE0">
            <w:pPr>
              <w:spacing w:after="0" w:line="240" w:lineRule="auto"/>
              <w:ind w:firstLine="317"/>
              <w:jc w:val="both"/>
              <w:rPr>
                <w:rFonts w:ascii="Times New Roman" w:hAnsi="Times New Roman"/>
                <w:lang w:val="ro-RO"/>
              </w:rPr>
            </w:pPr>
            <w:r w:rsidRPr="00121F51">
              <w:rPr>
                <w:rFonts w:ascii="Times New Roman" w:hAnsi="Times New Roman"/>
                <w:lang w:val="ro-RO"/>
              </w:rPr>
              <w:t xml:space="preserve">Conform prevederilor Legii nr.397-XV din 16.10.2003 (art.30), funcţia de executor principal de buget este exercitată de președintele raionului, primarii or. Sîngerei, Biruința și satelor (comunelor). </w:t>
            </w:r>
          </w:p>
          <w:p w:rsidR="00F24302" w:rsidRPr="00121F51" w:rsidRDefault="00F24302" w:rsidP="006B6AE0">
            <w:pPr>
              <w:spacing w:after="0" w:line="240" w:lineRule="auto"/>
              <w:ind w:firstLine="317"/>
              <w:jc w:val="both"/>
              <w:rPr>
                <w:rFonts w:ascii="Times New Roman" w:hAnsi="Times New Roman"/>
                <w:lang w:val="ro-RO"/>
              </w:rPr>
            </w:pPr>
            <w:r w:rsidRPr="00121F51">
              <w:rPr>
                <w:rFonts w:ascii="Times New Roman" w:hAnsi="Times New Roman"/>
                <w:lang w:val="ro-RO"/>
              </w:rPr>
              <w:t>Unitatea administrativ-teritorială, în conformitate cu prevederile legale, beneficiază de autonomie decizională, organizatorică, gestionară și financiară și are dreptul la inițiativă în ceea ce privește administrarea treburilor publice locale, exercitîndu-și, în condițiile legii, activitatea în limitele teritoriului subordonat.</w:t>
            </w:r>
          </w:p>
          <w:p w:rsidR="00F24302" w:rsidRPr="00121F51" w:rsidRDefault="00F24302" w:rsidP="006B6AE0">
            <w:pPr>
              <w:spacing w:after="0" w:line="240" w:lineRule="auto"/>
              <w:ind w:firstLine="317"/>
              <w:jc w:val="both"/>
              <w:rPr>
                <w:rFonts w:ascii="Times New Roman" w:hAnsi="Times New Roman"/>
                <w:lang w:val="ro-RO"/>
              </w:rPr>
            </w:pPr>
            <w:r w:rsidRPr="00121F51">
              <w:rPr>
                <w:rFonts w:ascii="Times New Roman" w:hAnsi="Times New Roman"/>
                <w:lang w:val="ro-RO"/>
              </w:rPr>
              <w:t xml:space="preserve">În anul 2015, în raion, în sectorul public erau încadrate </w:t>
            </w:r>
            <w:r>
              <w:rPr>
                <w:rFonts w:ascii="Times New Roman" w:hAnsi="Times New Roman"/>
                <w:lang w:val="ro-RO"/>
              </w:rPr>
              <w:t>3000</w:t>
            </w:r>
            <w:r w:rsidRPr="00121F51">
              <w:rPr>
                <w:rFonts w:ascii="Times New Roman" w:hAnsi="Times New Roman"/>
                <w:lang w:val="ro-RO"/>
              </w:rPr>
              <w:t xml:space="preserve"> unități de personal, fiind finanțați 27 executori primari și 262 </w:t>
            </w:r>
            <w:r>
              <w:rPr>
                <w:rFonts w:ascii="Times New Roman" w:hAnsi="Times New Roman"/>
                <w:lang w:val="ro-RO"/>
              </w:rPr>
              <w:t xml:space="preserve">executori </w:t>
            </w:r>
            <w:r w:rsidRPr="00121F51">
              <w:rPr>
                <w:rFonts w:ascii="Times New Roman" w:hAnsi="Times New Roman"/>
                <w:lang w:val="ro-RO"/>
              </w:rPr>
              <w:t>secundari de buget, inclusiv: 113 instituții de învățămînt , 100 instituții de cultură, artă și acțiuni pentru tineret, 17 instituții din cadrul asigurării și asistenței sociale etc.</w:t>
            </w:r>
          </w:p>
        </w:tc>
      </w:tr>
      <w:tr w:rsidR="00F24302" w:rsidRPr="003D14BB" w:rsidTr="006B6AE0">
        <w:tc>
          <w:tcPr>
            <w:tcW w:w="1951"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rPr>
                <w:rFonts w:ascii="Times New Roman" w:eastAsia="Times New Roman" w:hAnsi="Times New Roman"/>
                <w:i/>
                <w:lang w:val="ro-RO" w:eastAsia="ru-RU"/>
              </w:rPr>
            </w:pPr>
            <w:r w:rsidRPr="00121F51">
              <w:rPr>
                <w:rFonts w:ascii="Times New Roman" w:eastAsia="Times New Roman" w:hAnsi="Times New Roman"/>
                <w:bCs/>
                <w:i/>
                <w:lang w:val="ro-RO" w:eastAsia="ru-RU"/>
              </w:rPr>
              <w:t>Cadrul normativ şi legislativ relevant</w:t>
            </w:r>
            <w:r w:rsidRPr="00121F51">
              <w:rPr>
                <w:rFonts w:ascii="Times New Roman" w:eastAsia="Times New Roman" w:hAnsi="Times New Roman"/>
                <w:i/>
                <w:lang w:val="ro-RO" w:eastAsia="ru-RU"/>
              </w:rPr>
              <w:t xml:space="preserve"> </w:t>
            </w:r>
          </w:p>
          <w:p w:rsidR="00F24302" w:rsidRPr="00121F51" w:rsidRDefault="00F24302" w:rsidP="006B6AE0">
            <w:pPr>
              <w:spacing w:after="0" w:line="240" w:lineRule="auto"/>
              <w:jc w:val="both"/>
              <w:rPr>
                <w:rFonts w:ascii="Times New Roman" w:eastAsia="Times New Roman" w:hAnsi="Times New Roman"/>
                <w:lang w:val="ro-RO" w:eastAsia="ru-RU"/>
              </w:rPr>
            </w:pPr>
          </w:p>
        </w:tc>
        <w:tc>
          <w:tcPr>
            <w:tcW w:w="751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tabs>
                <w:tab w:val="left" w:pos="0"/>
              </w:tabs>
              <w:spacing w:after="0" w:line="240" w:lineRule="auto"/>
              <w:ind w:firstLine="709"/>
              <w:jc w:val="both"/>
              <w:rPr>
                <w:rFonts w:ascii="Times New Roman" w:eastAsia="Times New Roman" w:hAnsi="Times New Roman"/>
                <w:b/>
                <w:bCs/>
                <w:lang w:val="ro-RO" w:eastAsia="ru-RU"/>
              </w:rPr>
            </w:pPr>
            <w:r w:rsidRPr="00121F51">
              <w:rPr>
                <w:rFonts w:ascii="Times New Roman" w:eastAsia="Times New Roman" w:hAnsi="Times New Roman"/>
                <w:b/>
                <w:bCs/>
                <w:lang w:val="ro-RO" w:eastAsia="ru-RU"/>
              </w:rPr>
              <w:t>Cadrul legislativ și normativ relevant</w:t>
            </w:r>
          </w:p>
          <w:p w:rsidR="00F24302" w:rsidRPr="00121F51" w:rsidRDefault="00F24302" w:rsidP="006B6AE0">
            <w:pPr>
              <w:tabs>
                <w:tab w:val="left" w:pos="0"/>
              </w:tabs>
              <w:spacing w:after="0" w:line="240" w:lineRule="auto"/>
              <w:ind w:firstLine="317"/>
              <w:jc w:val="both"/>
              <w:rPr>
                <w:rFonts w:ascii="Times New Roman" w:eastAsia="Times New Roman" w:hAnsi="Times New Roman"/>
                <w:lang w:val="ro-RO" w:eastAsia="ru-RU"/>
              </w:rPr>
            </w:pPr>
            <w:r w:rsidRPr="00121F51">
              <w:rPr>
                <w:rFonts w:ascii="Times New Roman" w:eastAsia="Times New Roman" w:hAnsi="Times New Roman"/>
                <w:lang w:val="ro-RO" w:eastAsia="ru-RU"/>
              </w:rPr>
              <w:t>Bazele juridice, organizatorice și financiare de constituire și utilizare a bugetului raionului sînt reglementate de:</w:t>
            </w:r>
          </w:p>
          <w:p w:rsidR="00F24302" w:rsidRPr="00121F51" w:rsidRDefault="00F24302" w:rsidP="00F24302">
            <w:pPr>
              <w:numPr>
                <w:ilvl w:val="0"/>
                <w:numId w:val="21"/>
              </w:numPr>
              <w:tabs>
                <w:tab w:val="left" w:pos="0"/>
              </w:tabs>
              <w:spacing w:after="0" w:line="240" w:lineRule="auto"/>
              <w:ind w:left="34" w:firstLine="283"/>
              <w:jc w:val="both"/>
              <w:rPr>
                <w:rFonts w:ascii="Times New Roman" w:eastAsia="Times New Roman" w:hAnsi="Times New Roman"/>
                <w:lang w:val="ro-RO" w:eastAsia="ru-RU"/>
              </w:rPr>
            </w:pPr>
            <w:r w:rsidRPr="00121F51">
              <w:rPr>
                <w:rFonts w:ascii="Times New Roman" w:eastAsia="Times New Roman" w:hAnsi="Times New Roman"/>
                <w:lang w:val="ro-RO" w:eastAsia="ru-RU"/>
              </w:rPr>
              <w:t>Legea privind finanțele publice locale nr.397-XV din 16.10.2003;</w:t>
            </w:r>
          </w:p>
          <w:p w:rsidR="00F24302" w:rsidRPr="00121F51" w:rsidRDefault="00F24302" w:rsidP="00F24302">
            <w:pPr>
              <w:numPr>
                <w:ilvl w:val="0"/>
                <w:numId w:val="21"/>
              </w:numPr>
              <w:tabs>
                <w:tab w:val="left" w:pos="0"/>
              </w:tabs>
              <w:spacing w:after="0" w:line="240" w:lineRule="auto"/>
              <w:ind w:left="34" w:firstLine="283"/>
              <w:jc w:val="both"/>
              <w:rPr>
                <w:rFonts w:ascii="Times New Roman" w:eastAsia="Times New Roman" w:hAnsi="Times New Roman"/>
                <w:lang w:val="ro-RO" w:eastAsia="ru-RU"/>
              </w:rPr>
            </w:pPr>
            <w:r w:rsidRPr="00121F51">
              <w:rPr>
                <w:rFonts w:ascii="Times New Roman" w:eastAsia="Times New Roman" w:hAnsi="Times New Roman"/>
                <w:lang w:val="ro-RO" w:eastAsia="ru-RU"/>
              </w:rPr>
              <w:lastRenderedPageBreak/>
              <w:t xml:space="preserve">Legea </w:t>
            </w:r>
            <w:r w:rsidRPr="00121F51">
              <w:rPr>
                <w:rFonts w:ascii="Times New Roman" w:eastAsia="Times New Roman" w:hAnsi="Times New Roman"/>
                <w:bCs/>
                <w:lang w:val="ro-RO" w:eastAsia="ru-RU"/>
              </w:rPr>
              <w:t>privind sistemul bugetar și procesul bugetar</w:t>
            </w:r>
            <w:r w:rsidRPr="00121F51">
              <w:rPr>
                <w:rFonts w:ascii="Times New Roman" w:eastAsia="Times New Roman" w:hAnsi="Times New Roman"/>
                <w:lang w:val="ro-RO" w:eastAsia="ru-RU"/>
              </w:rPr>
              <w:t xml:space="preserve"> nr.847-XIII din 24.05.1996; </w:t>
            </w:r>
          </w:p>
          <w:p w:rsidR="00F24302" w:rsidRPr="00121F51" w:rsidRDefault="00F24302" w:rsidP="00F24302">
            <w:pPr>
              <w:numPr>
                <w:ilvl w:val="0"/>
                <w:numId w:val="21"/>
              </w:numPr>
              <w:tabs>
                <w:tab w:val="left" w:pos="0"/>
              </w:tabs>
              <w:spacing w:after="0" w:line="240" w:lineRule="auto"/>
              <w:ind w:left="34" w:firstLine="283"/>
              <w:jc w:val="both"/>
              <w:rPr>
                <w:rFonts w:ascii="Times New Roman" w:eastAsia="Times New Roman" w:hAnsi="Times New Roman"/>
                <w:lang w:val="ro-RO" w:eastAsia="ru-RU"/>
              </w:rPr>
            </w:pPr>
            <w:r w:rsidRPr="00121F51">
              <w:rPr>
                <w:rFonts w:ascii="Times New Roman" w:eastAsia="Times New Roman" w:hAnsi="Times New Roman"/>
                <w:lang w:val="ro-RO" w:eastAsia="ru-RU"/>
              </w:rPr>
              <w:t>Legea privind administrația publică locală nr.436-XVI din 28.12.2006,  precum și de alte acte legislative și normative în domeniul politicii bugetar-fiscale.</w:t>
            </w:r>
          </w:p>
          <w:p w:rsidR="00F24302" w:rsidRPr="00121F51" w:rsidRDefault="00F24302" w:rsidP="006B6AE0">
            <w:pPr>
              <w:tabs>
                <w:tab w:val="left" w:pos="0"/>
              </w:tabs>
              <w:spacing w:after="0" w:line="240" w:lineRule="auto"/>
              <w:ind w:left="34" w:firstLine="283"/>
              <w:jc w:val="both"/>
              <w:rPr>
                <w:rFonts w:ascii="Times New Roman" w:eastAsia="Times New Roman" w:hAnsi="Times New Roman"/>
                <w:lang w:val="ro-RO" w:eastAsia="ru-RU"/>
              </w:rPr>
            </w:pPr>
            <w:r w:rsidRPr="00121F51">
              <w:rPr>
                <w:rFonts w:ascii="Times New Roman" w:eastAsia="Times New Roman" w:hAnsi="Times New Roman"/>
                <w:lang w:val="ro-RO" w:eastAsia="ru-RU"/>
              </w:rPr>
              <w:t>Evidența contabilă în autoritățile publice supuse auditării este reglementată de:</w:t>
            </w:r>
          </w:p>
          <w:p w:rsidR="00F24302" w:rsidRPr="00121F51" w:rsidRDefault="00F24302" w:rsidP="00F24302">
            <w:pPr>
              <w:numPr>
                <w:ilvl w:val="0"/>
                <w:numId w:val="22"/>
              </w:numPr>
              <w:tabs>
                <w:tab w:val="left" w:pos="0"/>
              </w:tabs>
              <w:spacing w:after="0" w:line="240" w:lineRule="auto"/>
              <w:ind w:left="34" w:firstLine="283"/>
              <w:jc w:val="both"/>
              <w:rPr>
                <w:rFonts w:ascii="Times New Roman" w:eastAsia="Times New Roman" w:hAnsi="Times New Roman"/>
                <w:i/>
                <w:lang w:val="ro-RO" w:eastAsia="ru-RU"/>
              </w:rPr>
            </w:pPr>
            <w:r w:rsidRPr="00121F51">
              <w:rPr>
                <w:rFonts w:ascii="Times New Roman" w:eastAsia="Times New Roman" w:hAnsi="Times New Roman"/>
                <w:lang w:val="ro-RO" w:eastAsia="ru-RU"/>
              </w:rPr>
              <w:t>Legea contabilității nr.113-XVI din 27.04.2007;</w:t>
            </w:r>
          </w:p>
          <w:p w:rsidR="00F24302" w:rsidRPr="00121F51" w:rsidRDefault="00F24302" w:rsidP="00F24302">
            <w:pPr>
              <w:numPr>
                <w:ilvl w:val="0"/>
                <w:numId w:val="22"/>
              </w:numPr>
              <w:tabs>
                <w:tab w:val="left" w:pos="0"/>
              </w:tabs>
              <w:spacing w:after="0" w:line="240" w:lineRule="auto"/>
              <w:ind w:left="34" w:firstLine="283"/>
              <w:jc w:val="both"/>
              <w:rPr>
                <w:rFonts w:ascii="Times New Roman" w:eastAsia="Times New Roman" w:hAnsi="Times New Roman"/>
                <w:i/>
                <w:lang w:val="ro-RO" w:eastAsia="ru-RU"/>
              </w:rPr>
            </w:pPr>
            <w:r w:rsidRPr="00121F51">
              <w:rPr>
                <w:rFonts w:ascii="Times New Roman" w:eastAsia="Times New Roman" w:hAnsi="Times New Roman"/>
                <w:lang w:val="ro-RO" w:eastAsia="ru-RU"/>
              </w:rPr>
              <w:t>Instrucțiunea cu privire la evidența contabilă în instituțiile publice, aprobată prin Ordinul ministrului Finanțelor nr.93 din 19.07.2010;</w:t>
            </w:r>
          </w:p>
          <w:p w:rsidR="00F24302" w:rsidRPr="00121F51" w:rsidRDefault="00F24302" w:rsidP="00F24302">
            <w:pPr>
              <w:numPr>
                <w:ilvl w:val="0"/>
                <w:numId w:val="22"/>
              </w:numPr>
              <w:tabs>
                <w:tab w:val="left" w:pos="0"/>
              </w:tabs>
              <w:spacing w:after="0" w:line="240" w:lineRule="auto"/>
              <w:ind w:left="34" w:firstLine="283"/>
              <w:jc w:val="both"/>
              <w:rPr>
                <w:rFonts w:ascii="Times New Roman" w:eastAsia="Times New Roman" w:hAnsi="Times New Roman"/>
                <w:i/>
                <w:lang w:val="ro-RO" w:eastAsia="ru-RU"/>
              </w:rPr>
            </w:pPr>
            <w:r w:rsidRPr="00121F51">
              <w:rPr>
                <w:rFonts w:ascii="Times New Roman" w:eastAsia="Times New Roman" w:hAnsi="Times New Roman"/>
                <w:lang w:val="ro-RO" w:eastAsia="ru-RU"/>
              </w:rPr>
              <w:t>Instrucțiunea cu privire la evidența contabilă în contabilitățile centralizate din cadrul primăriilor satelor (comunelor), orașelor, aprobată prin Ordinul ministrului Finanțelor nr.94 din 19.07.2010, precum și de alte acte cu caracter normativ.</w:t>
            </w:r>
          </w:p>
        </w:tc>
      </w:tr>
      <w:tr w:rsidR="00F24302" w:rsidRPr="003D14BB" w:rsidTr="006B6AE0">
        <w:tc>
          <w:tcPr>
            <w:tcW w:w="19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eastAsia="Times New Roman" w:hAnsi="Times New Roman"/>
                <w:i/>
                <w:lang w:val="ro-RO" w:eastAsia="ru-RU"/>
              </w:rPr>
            </w:pPr>
            <w:r w:rsidRPr="00121F51">
              <w:rPr>
                <w:rFonts w:ascii="Times New Roman" w:eastAsia="Times New Roman" w:hAnsi="Times New Roman"/>
                <w:i/>
                <w:lang w:val="ro-RO" w:eastAsia="ru-RU"/>
              </w:rPr>
              <w:lastRenderedPageBreak/>
              <w:t>Derularea procesului bugetar</w:t>
            </w:r>
          </w:p>
        </w:tc>
        <w:tc>
          <w:tcPr>
            <w:tcW w:w="751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firstLine="317"/>
              <w:jc w:val="both"/>
              <w:rPr>
                <w:rFonts w:ascii="Times New Roman" w:eastAsia="Times New Roman" w:hAnsi="Times New Roman"/>
                <w:lang w:val="ro-RO" w:eastAsia="ru-RU"/>
              </w:rPr>
            </w:pPr>
            <w:r w:rsidRPr="00121F51">
              <w:rPr>
                <w:rFonts w:ascii="Times New Roman" w:eastAsia="Times New Roman" w:hAnsi="Times New Roman"/>
                <w:lang w:val="ro-RO" w:eastAsia="ru-RU"/>
              </w:rPr>
              <w:t xml:space="preserve">Derularea procesului bugetar la nivel local are loc în contextul procesului bugetar realizat la scară națională. AAPL, cu responsabilități ce țin de elaborarea și aprobarea bugetelor locale, se împart în două categorii: </w:t>
            </w:r>
          </w:p>
          <w:p w:rsidR="00F24302" w:rsidRPr="00121F51" w:rsidRDefault="00F24302" w:rsidP="006B6AE0">
            <w:pPr>
              <w:spacing w:after="0" w:line="240" w:lineRule="auto"/>
              <w:ind w:firstLine="317"/>
              <w:jc w:val="both"/>
              <w:rPr>
                <w:rFonts w:ascii="Times New Roman" w:eastAsia="Times New Roman" w:hAnsi="Times New Roman"/>
                <w:lang w:val="ro-RO" w:eastAsia="ru-RU"/>
              </w:rPr>
            </w:pPr>
            <w:r w:rsidRPr="00121F51">
              <w:rPr>
                <w:rFonts w:ascii="Times New Roman" w:eastAsia="Times New Roman" w:hAnsi="Times New Roman"/>
                <w:lang w:val="ro-RO" w:eastAsia="ru-RU"/>
              </w:rPr>
              <w:t xml:space="preserve">I – autorități reprezentative și deliberative (consiliile locale ale oraşului, comunelor, satelor și ale raionului), care examinează și aprobă bugetul UAT; </w:t>
            </w:r>
          </w:p>
          <w:p w:rsidR="00F24302" w:rsidRPr="00121F51" w:rsidRDefault="00F24302" w:rsidP="006B6AE0">
            <w:pPr>
              <w:spacing w:after="0" w:line="240" w:lineRule="auto"/>
              <w:ind w:firstLine="317"/>
              <w:jc w:val="both"/>
              <w:rPr>
                <w:rFonts w:ascii="Times New Roman" w:eastAsia="Times New Roman" w:hAnsi="Times New Roman"/>
                <w:lang w:val="ro-RO" w:eastAsia="ru-RU"/>
              </w:rPr>
            </w:pPr>
            <w:r w:rsidRPr="00121F51">
              <w:rPr>
                <w:rFonts w:ascii="Times New Roman" w:eastAsia="Times New Roman" w:hAnsi="Times New Roman"/>
                <w:lang w:val="ro-RO" w:eastAsia="ru-RU"/>
              </w:rPr>
              <w:t xml:space="preserve">II – autorități executive (primarii de orașe, sate, comune și președintele raionului, ca ordonatori/executori principali de buget), care asigură elaborarea proiectelor bugetelor locale de nivelul I și nivelul II în baza normativelor stabilite, conform Notelor metodologice privind elaborarea de către autoritățile administrației publice locale a proiectelor bugetelor UAT, elaborate de Ministerul Finanțelor, și Legii nr.397-XV din 16.10.2003. </w:t>
            </w:r>
          </w:p>
          <w:p w:rsidR="00F24302" w:rsidRPr="00121F51" w:rsidRDefault="00F24302" w:rsidP="006B6AE0">
            <w:pPr>
              <w:spacing w:after="0" w:line="240" w:lineRule="auto"/>
              <w:ind w:firstLine="317"/>
              <w:jc w:val="both"/>
              <w:rPr>
                <w:rFonts w:ascii="Times New Roman" w:eastAsia="Times New Roman" w:hAnsi="Times New Roman"/>
                <w:lang w:val="ro-RO" w:eastAsia="ru-RU"/>
              </w:rPr>
            </w:pPr>
            <w:r w:rsidRPr="00121F51">
              <w:rPr>
                <w:rFonts w:ascii="Times New Roman" w:eastAsia="Times New Roman" w:hAnsi="Times New Roman"/>
                <w:lang w:val="ro-RO" w:eastAsia="ru-RU"/>
              </w:rPr>
              <w:t xml:space="preserve">După aprobarea bugetului de stat, bugetele locale sînt corelate cu prevederile acestuia. </w:t>
            </w:r>
          </w:p>
          <w:p w:rsidR="00F24302" w:rsidRPr="00121F51" w:rsidRDefault="00F24302" w:rsidP="006B6AE0">
            <w:pPr>
              <w:spacing w:after="120" w:line="240" w:lineRule="auto"/>
              <w:ind w:firstLine="317"/>
              <w:jc w:val="both"/>
              <w:rPr>
                <w:rFonts w:ascii="Times New Roman" w:eastAsia="Times New Roman" w:hAnsi="Times New Roman"/>
                <w:lang w:val="ro-RO" w:eastAsia="ru-RU"/>
              </w:rPr>
            </w:pPr>
            <w:r w:rsidRPr="00121F51">
              <w:rPr>
                <w:rFonts w:ascii="Times New Roman" w:eastAsia="Times New Roman" w:hAnsi="Times New Roman"/>
                <w:lang w:val="ro-RO" w:eastAsia="ru-RU"/>
              </w:rPr>
              <w:t xml:space="preserve">Conform cadrului legal, între AAPL de nivelul I și cele de nivelul II nu există raporturi de subordonare, respectiv, bugetele acestora sînt elaborate și executate independent unul de altul. Drept urmare, aceste bugete sînt angajate în relații interbugetare la etapele de elaborare, aprobare și executare, caracterizate prin delimitarea de către autoritățile de nivelul II a veniturilor, prin stabilirea normativelor procentuale de defalcări de la veniturile generale de stat, a volumului transferurilor pentru uniformizarea asigurării financiare a bugetelor locale, a volumului transferurilor cu destinație specială pentru salarizarea unor categorii de angajați din instituțiile de învățămînt și de cultură etc. </w:t>
            </w:r>
          </w:p>
        </w:tc>
      </w:tr>
    </w:tbl>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hAnsi="Times New Roman"/>
          <w:b/>
          <w:sz w:val="20"/>
          <w:szCs w:val="20"/>
          <w:lang w:val="ro-RO"/>
        </w:rPr>
      </w:pPr>
    </w:p>
    <w:p w:rsidR="00F24302" w:rsidRDefault="00F24302" w:rsidP="00F24302">
      <w:pPr>
        <w:spacing w:after="120" w:line="240" w:lineRule="auto"/>
        <w:rPr>
          <w:rFonts w:ascii="Times New Roman" w:eastAsia="Times New Roman" w:hAnsi="Times New Roman"/>
          <w:b/>
          <w:sz w:val="24"/>
          <w:szCs w:val="24"/>
          <w:lang w:val="ro-RO" w:eastAsia="ru-RU"/>
        </w:rPr>
      </w:pPr>
    </w:p>
    <w:p w:rsidR="00F24302" w:rsidRPr="00121F51" w:rsidRDefault="00F24302" w:rsidP="00F24302">
      <w:pPr>
        <w:spacing w:after="120" w:line="240" w:lineRule="auto"/>
        <w:ind w:firstLine="709"/>
        <w:jc w:val="right"/>
        <w:rPr>
          <w:rFonts w:ascii="Times New Roman" w:eastAsia="Times New Roman" w:hAnsi="Times New Roman"/>
          <w:b/>
          <w:sz w:val="24"/>
          <w:szCs w:val="24"/>
          <w:lang w:val="ro-RO" w:eastAsia="ru-RU"/>
        </w:rPr>
      </w:pPr>
      <w:r>
        <w:rPr>
          <w:rFonts w:ascii="Times New Roman" w:eastAsia="Times New Roman" w:hAnsi="Times New Roman"/>
          <w:b/>
          <w:sz w:val="24"/>
          <w:szCs w:val="24"/>
          <w:lang w:val="ro-RO" w:eastAsia="ru-RU"/>
        </w:rPr>
        <w:t>Anexa nr.2</w:t>
      </w:r>
    </w:p>
    <w:p w:rsidR="00F24302" w:rsidRPr="00121F51" w:rsidRDefault="00F24302" w:rsidP="00F24302">
      <w:pPr>
        <w:spacing w:after="0" w:line="240" w:lineRule="auto"/>
        <w:jc w:val="center"/>
        <w:rPr>
          <w:rFonts w:ascii="Times New Roman" w:hAnsi="Times New Roman"/>
          <w:lang w:val="ro-RO"/>
        </w:rPr>
      </w:pPr>
      <w:r w:rsidRPr="00121F51">
        <w:rPr>
          <w:rFonts w:ascii="Times New Roman" w:hAnsi="Times New Roman"/>
          <w:b/>
          <w:bCs/>
          <w:lang w:val="ro-RO"/>
        </w:rPr>
        <w:t xml:space="preserve">Contextul general privind executarea veniturilor şi cheltuielilor bugetului raionului </w:t>
      </w:r>
      <w:r>
        <w:rPr>
          <w:rFonts w:ascii="Times New Roman" w:hAnsi="Times New Roman"/>
          <w:b/>
          <w:bCs/>
          <w:lang w:val="ro-RO"/>
        </w:rPr>
        <w:t>Sîngerei</w:t>
      </w:r>
    </w:p>
    <w:p w:rsidR="00F24302" w:rsidRPr="00121F51" w:rsidRDefault="00F24302" w:rsidP="00F24302">
      <w:pPr>
        <w:spacing w:after="0" w:line="240" w:lineRule="auto"/>
        <w:ind w:right="-1" w:firstLine="567"/>
        <w:jc w:val="both"/>
        <w:rPr>
          <w:rFonts w:ascii="Times New Roman" w:hAnsi="Times New Roman"/>
          <w:lang w:val="ro-RO"/>
        </w:rPr>
      </w:pPr>
      <w:r w:rsidRPr="00121F51">
        <w:rPr>
          <w:rFonts w:ascii="Times New Roman" w:hAnsi="Times New Roman"/>
          <w:lang w:val="ro-RO"/>
        </w:rPr>
        <w:t>În anul 2015, veniturile și cheltuielile bugetelor UAT (de nivelul I și nivelul II) din raion au fost executate în volum de 94,0% și, respectiv, de 91,3% față de prevederile rectificate. Exercițiul bugetar s-a încheiat cu un deficit bugetar în sumă totală de 11350,1 mii lei (inclusiv: la AAPL de nivelul II – cu un deficit de 4057,2 mii lei; AAPL de nivelul I – cu un deficit de 7292,9 mii lei, sursa de finanțare fiind soldul mijloacelor format în urma exercițiului bugetar 2014).</w:t>
      </w:r>
    </w:p>
    <w:p w:rsidR="00F24302" w:rsidRPr="00121F51" w:rsidRDefault="00F24302" w:rsidP="00F24302">
      <w:pPr>
        <w:spacing w:after="0" w:line="240" w:lineRule="auto"/>
        <w:ind w:right="-1" w:firstLine="567"/>
        <w:jc w:val="both"/>
        <w:rPr>
          <w:rFonts w:ascii="Times New Roman" w:hAnsi="Times New Roman"/>
          <w:b/>
          <w:lang w:val="ro-RO"/>
        </w:rPr>
      </w:pPr>
      <w:r w:rsidRPr="00121F51">
        <w:rPr>
          <w:rFonts w:ascii="Times New Roman" w:hAnsi="Times New Roman"/>
          <w:lang w:val="ro-RO"/>
        </w:rPr>
        <w:t>Totalitatea bugetelor UAT de nivelul I și nivelul II din raion, care includ veniturile și cheltuielile pe anul 2015, este prezentată în tabelul de mai jos.</w:t>
      </w:r>
      <w:r w:rsidRPr="00121F51">
        <w:rPr>
          <w:rFonts w:ascii="Times New Roman" w:hAnsi="Times New Roman"/>
          <w:b/>
          <w:lang w:val="ro-RO"/>
        </w:rPr>
        <w:t xml:space="preserve"> </w:t>
      </w:r>
    </w:p>
    <w:p w:rsidR="00F24302" w:rsidRDefault="00F24302" w:rsidP="00F24302">
      <w:pPr>
        <w:spacing w:after="120" w:line="240" w:lineRule="auto"/>
        <w:jc w:val="right"/>
        <w:rPr>
          <w:rFonts w:ascii="Times New Roman" w:hAnsi="Times New Roman"/>
          <w:b/>
          <w:sz w:val="20"/>
          <w:szCs w:val="20"/>
          <w:lang w:val="ro-RO"/>
        </w:rPr>
      </w:pPr>
    </w:p>
    <w:p w:rsidR="00F24302" w:rsidRPr="00121F51" w:rsidRDefault="00F24302" w:rsidP="00F24302">
      <w:pPr>
        <w:spacing w:after="120" w:line="240" w:lineRule="auto"/>
        <w:jc w:val="right"/>
        <w:rPr>
          <w:rFonts w:ascii="Times New Roman" w:hAnsi="Times New Roman"/>
          <w:lang w:val="ro-RO"/>
        </w:rPr>
      </w:pPr>
      <w:r w:rsidRPr="00121F51">
        <w:rPr>
          <w:rFonts w:ascii="Times New Roman" w:hAnsi="Times New Roman"/>
          <w:b/>
          <w:sz w:val="20"/>
          <w:szCs w:val="20"/>
          <w:lang w:val="ro-RO"/>
        </w:rPr>
        <w:t>Tabelul nr.1</w:t>
      </w:r>
    </w:p>
    <w:p w:rsidR="00F24302" w:rsidRPr="00121F51" w:rsidRDefault="00F24302" w:rsidP="00F24302">
      <w:pPr>
        <w:spacing w:after="0" w:line="240" w:lineRule="auto"/>
        <w:jc w:val="center"/>
        <w:rPr>
          <w:rFonts w:ascii="Times New Roman" w:hAnsi="Times New Roman"/>
          <w:b/>
          <w:sz w:val="24"/>
          <w:szCs w:val="24"/>
          <w:lang w:val="ro-RO"/>
        </w:rPr>
      </w:pPr>
      <w:r w:rsidRPr="00121F51">
        <w:rPr>
          <w:rFonts w:ascii="Times New Roman" w:hAnsi="Times New Roman"/>
          <w:b/>
          <w:sz w:val="24"/>
          <w:szCs w:val="24"/>
          <w:lang w:val="ro-RO"/>
        </w:rPr>
        <w:t xml:space="preserve">Executarea veniturilor </w:t>
      </w:r>
      <w:r w:rsidRPr="007735F3">
        <w:rPr>
          <w:rFonts w:ascii="Times New Roman" w:hAnsi="Times New Roman"/>
          <w:b/>
          <w:sz w:val="24"/>
          <w:szCs w:val="24"/>
          <w:lang w:val="ro-RO"/>
        </w:rPr>
        <w:t>ș</w:t>
      </w:r>
      <w:r w:rsidRPr="00121F51">
        <w:rPr>
          <w:rFonts w:ascii="Times New Roman" w:hAnsi="Times New Roman"/>
          <w:b/>
          <w:sz w:val="24"/>
          <w:szCs w:val="24"/>
          <w:lang w:val="ro-RO"/>
        </w:rPr>
        <w:t>i cheltuielilor bugetelor UAT din raionul Sîngerei pe anul 2015</w:t>
      </w:r>
    </w:p>
    <w:p w:rsidR="00F24302" w:rsidRPr="00121F51" w:rsidRDefault="00F24302" w:rsidP="00F24302">
      <w:pPr>
        <w:spacing w:after="0" w:line="240" w:lineRule="auto"/>
        <w:jc w:val="right"/>
        <w:rPr>
          <w:rFonts w:ascii="Times New Roman" w:hAnsi="Times New Roman"/>
          <w:sz w:val="20"/>
          <w:szCs w:val="20"/>
          <w:lang w:val="ro-RO"/>
        </w:rPr>
      </w:pPr>
      <w:r w:rsidRPr="00121F51">
        <w:rPr>
          <w:rFonts w:ascii="Times New Roman" w:hAnsi="Times New Roman"/>
          <w:sz w:val="20"/>
          <w:szCs w:val="20"/>
          <w:lang w:val="ro-RO"/>
        </w:rPr>
        <w:t xml:space="preserve"> </w:t>
      </w:r>
      <w:r>
        <w:rPr>
          <w:rFonts w:ascii="Times New Roman" w:hAnsi="Times New Roman"/>
          <w:sz w:val="20"/>
          <w:szCs w:val="20"/>
          <w:lang w:val="ro-RO"/>
        </w:rPr>
        <w:t>(</w:t>
      </w:r>
      <w:r w:rsidRPr="007735F3">
        <w:rPr>
          <w:rFonts w:ascii="Times New Roman" w:hAnsi="Times New Roman"/>
          <w:i/>
          <w:sz w:val="20"/>
          <w:szCs w:val="20"/>
          <w:lang w:val="ro-RO"/>
        </w:rPr>
        <w:t>mii lei</w:t>
      </w:r>
      <w:r>
        <w:rPr>
          <w:rFonts w:ascii="Times New Roman" w:hAnsi="Times New Roman"/>
          <w:sz w:val="20"/>
          <w:szCs w:val="20"/>
          <w:lang w:val="ro-RO"/>
        </w:rPr>
        <w:t>)</w:t>
      </w:r>
    </w:p>
    <w:tbl>
      <w:tblPr>
        <w:tblW w:w="9888" w:type="dxa"/>
        <w:tblInd w:w="-432" w:type="dxa"/>
        <w:tblLayout w:type="fixed"/>
        <w:tblLook w:val="00A0" w:firstRow="1" w:lastRow="0" w:firstColumn="1" w:lastColumn="0" w:noHBand="0" w:noVBand="0"/>
      </w:tblPr>
      <w:tblGrid>
        <w:gridCol w:w="1870"/>
        <w:gridCol w:w="647"/>
        <w:gridCol w:w="783"/>
        <w:gridCol w:w="756"/>
        <w:gridCol w:w="729"/>
        <w:gridCol w:w="467"/>
        <w:gridCol w:w="742"/>
        <w:gridCol w:w="741"/>
        <w:gridCol w:w="736"/>
        <w:gridCol w:w="454"/>
        <w:gridCol w:w="648"/>
        <w:gridCol w:w="635"/>
        <w:gridCol w:w="680"/>
      </w:tblGrid>
      <w:tr w:rsidR="00F24302" w:rsidRPr="003D14BB" w:rsidTr="006B6AE0">
        <w:trPr>
          <w:trHeight w:val="259"/>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Tipul de buget</w:t>
            </w:r>
          </w:p>
        </w:tc>
        <w:tc>
          <w:tcPr>
            <w:tcW w:w="648" w:type="dxa"/>
            <w:vMerge w:val="restart"/>
            <w:tcBorders>
              <w:top w:val="single" w:sz="4" w:space="0" w:color="auto"/>
              <w:left w:val="nil"/>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Soldul mijloacelor disponibile</w:t>
            </w:r>
            <w:r>
              <w:rPr>
                <w:rFonts w:ascii="Times New Roman" w:hAnsi="Times New Roman"/>
                <w:b/>
                <w:bCs/>
                <w:sz w:val="16"/>
                <w:szCs w:val="16"/>
                <w:lang w:val="ro-RO" w:eastAsia="ru-RU"/>
              </w:rPr>
              <w:t xml:space="preserve">   </w:t>
            </w:r>
            <w:r w:rsidRPr="00121F51">
              <w:rPr>
                <w:rFonts w:ascii="Times New Roman" w:hAnsi="Times New Roman"/>
                <w:b/>
                <w:bCs/>
                <w:sz w:val="16"/>
                <w:szCs w:val="16"/>
                <w:lang w:val="ro-RO" w:eastAsia="ru-RU"/>
              </w:rPr>
              <w:t xml:space="preserve"> a la început de an</w:t>
            </w:r>
          </w:p>
        </w:tc>
        <w:tc>
          <w:tcPr>
            <w:tcW w:w="2735" w:type="dxa"/>
            <w:gridSpan w:val="4"/>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Venituri</w:t>
            </w:r>
          </w:p>
        </w:tc>
        <w:tc>
          <w:tcPr>
            <w:tcW w:w="2673" w:type="dxa"/>
            <w:gridSpan w:val="4"/>
            <w:tcBorders>
              <w:top w:val="single" w:sz="4" w:space="0" w:color="auto"/>
              <w:left w:val="nil"/>
              <w:bottom w:val="single" w:sz="4" w:space="0" w:color="auto"/>
              <w:right w:val="single" w:sz="4" w:space="0" w:color="auto"/>
            </w:tcBorders>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Cheltuieli</w:t>
            </w:r>
          </w:p>
        </w:tc>
        <w:tc>
          <w:tcPr>
            <w:tcW w:w="6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24302" w:rsidRPr="009A7017" w:rsidRDefault="00F24302" w:rsidP="006B6AE0">
            <w:pPr>
              <w:spacing w:after="0" w:line="240" w:lineRule="auto"/>
              <w:ind w:left="-107" w:right="-108"/>
              <w:jc w:val="center"/>
              <w:rPr>
                <w:rFonts w:ascii="Times New Roman" w:hAnsi="Times New Roman"/>
                <w:b/>
                <w:bCs/>
                <w:sz w:val="16"/>
                <w:szCs w:val="16"/>
                <w:lang w:val="ro-RO" w:eastAsia="ru-RU"/>
              </w:rPr>
            </w:pPr>
            <w:r w:rsidRPr="009A7017">
              <w:rPr>
                <w:rFonts w:ascii="Times New Roman" w:hAnsi="Times New Roman"/>
                <w:b/>
                <w:bCs/>
                <w:sz w:val="16"/>
                <w:szCs w:val="16"/>
                <w:lang w:val="ro-RO" w:eastAsia="ru-RU"/>
              </w:rPr>
              <w:t>Soldul mijloacelor disponibile</w:t>
            </w:r>
          </w:p>
          <w:p w:rsidR="00F24302" w:rsidRPr="009A7017" w:rsidRDefault="00F24302" w:rsidP="006B6AE0">
            <w:pPr>
              <w:spacing w:after="0" w:line="240" w:lineRule="auto"/>
              <w:ind w:left="-107" w:right="-108"/>
              <w:jc w:val="center"/>
              <w:rPr>
                <w:rFonts w:ascii="Times New Roman" w:hAnsi="Times New Roman"/>
                <w:b/>
                <w:bCs/>
                <w:sz w:val="16"/>
                <w:szCs w:val="16"/>
                <w:lang w:val="ro-RO" w:eastAsia="ru-RU"/>
              </w:rPr>
            </w:pPr>
            <w:r w:rsidRPr="009A7017">
              <w:rPr>
                <w:rFonts w:ascii="Times New Roman" w:hAnsi="Times New Roman"/>
                <w:b/>
                <w:bCs/>
                <w:sz w:val="16"/>
                <w:szCs w:val="16"/>
                <w:lang w:val="ro-RO" w:eastAsia="ru-RU"/>
              </w:rPr>
              <w:t>la sf</w:t>
            </w:r>
            <w:r>
              <w:rPr>
                <w:rFonts w:ascii="Times New Roman" w:hAnsi="Times New Roman"/>
                <w:b/>
                <w:bCs/>
                <w:sz w:val="16"/>
                <w:szCs w:val="16"/>
                <w:lang w:val="ro-RO" w:eastAsia="ru-RU"/>
              </w:rPr>
              <w:t>î</w:t>
            </w:r>
            <w:r w:rsidRPr="009A7017">
              <w:rPr>
                <w:rFonts w:ascii="Times New Roman" w:hAnsi="Times New Roman"/>
                <w:b/>
                <w:bCs/>
                <w:sz w:val="16"/>
                <w:szCs w:val="16"/>
                <w:lang w:val="ro-RO" w:eastAsia="ru-RU"/>
              </w:rPr>
              <w:t>r</w:t>
            </w:r>
            <w:r w:rsidRPr="007735F3">
              <w:rPr>
                <w:rFonts w:ascii="Times New Roman" w:hAnsi="Times New Roman"/>
                <w:b/>
                <w:bCs/>
                <w:sz w:val="16"/>
                <w:szCs w:val="16"/>
                <w:lang w:val="ro-RO" w:eastAsia="ru-RU"/>
              </w:rPr>
              <w:t>ș</w:t>
            </w:r>
            <w:r w:rsidRPr="009A7017">
              <w:rPr>
                <w:rFonts w:ascii="Times New Roman" w:hAnsi="Times New Roman"/>
                <w:b/>
                <w:bCs/>
                <w:sz w:val="16"/>
                <w:szCs w:val="16"/>
                <w:lang w:val="ro-RO" w:eastAsia="ru-RU"/>
              </w:rPr>
              <w:t>it de an</w:t>
            </w:r>
          </w:p>
        </w:tc>
        <w:tc>
          <w:tcPr>
            <w:tcW w:w="6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24302" w:rsidRPr="00D25F6D" w:rsidRDefault="00F24302" w:rsidP="006B6AE0">
            <w:pPr>
              <w:spacing w:after="0" w:line="240" w:lineRule="auto"/>
              <w:ind w:left="-107" w:right="-108"/>
              <w:jc w:val="center"/>
              <w:rPr>
                <w:rFonts w:ascii="Times New Roman" w:hAnsi="Times New Roman"/>
                <w:b/>
                <w:bCs/>
                <w:sz w:val="16"/>
                <w:szCs w:val="16"/>
                <w:lang w:val="ro-RO" w:eastAsia="ru-RU"/>
              </w:rPr>
            </w:pPr>
            <w:r w:rsidRPr="00D25F6D">
              <w:rPr>
                <w:rFonts w:ascii="Times New Roman" w:hAnsi="Times New Roman"/>
                <w:b/>
                <w:bCs/>
                <w:sz w:val="16"/>
                <w:szCs w:val="16"/>
                <w:lang w:val="ro-RO" w:eastAsia="ru-RU"/>
              </w:rPr>
              <w:t>Excedent (+);</w:t>
            </w:r>
          </w:p>
          <w:p w:rsidR="00F24302" w:rsidRPr="00A1503F" w:rsidRDefault="00F24302" w:rsidP="006B6AE0">
            <w:pPr>
              <w:spacing w:after="0" w:line="240" w:lineRule="auto"/>
              <w:ind w:left="-107" w:right="-108"/>
              <w:jc w:val="center"/>
              <w:rPr>
                <w:rFonts w:ascii="Times New Roman" w:hAnsi="Times New Roman"/>
                <w:b/>
                <w:bCs/>
                <w:sz w:val="16"/>
                <w:szCs w:val="16"/>
                <w:lang w:val="ro-RO" w:eastAsia="ru-RU"/>
              </w:rPr>
            </w:pPr>
            <w:r w:rsidRPr="00A1503F">
              <w:rPr>
                <w:rFonts w:ascii="Times New Roman" w:hAnsi="Times New Roman"/>
                <w:b/>
                <w:bCs/>
                <w:sz w:val="16"/>
                <w:szCs w:val="16"/>
                <w:lang w:val="ro-RO" w:eastAsia="ru-RU"/>
              </w:rPr>
              <w:t>Deficit (-)</w:t>
            </w:r>
          </w:p>
        </w:tc>
        <w:tc>
          <w:tcPr>
            <w:tcW w:w="6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Nivelul cheltuielilor</w:t>
            </w:r>
          </w:p>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fa</w:t>
            </w:r>
            <w:r w:rsidRPr="00121F51">
              <w:rPr>
                <w:rFonts w:ascii="Tahoma" w:hAnsi="Tahoma" w:cs="Tahoma"/>
                <w:b/>
                <w:bCs/>
                <w:sz w:val="16"/>
                <w:szCs w:val="16"/>
                <w:lang w:val="ro-RO" w:eastAsia="ru-RU"/>
              </w:rPr>
              <w:t>ț</w:t>
            </w:r>
            <w:r w:rsidRPr="00121F51">
              <w:rPr>
                <w:rFonts w:ascii="Times New Roman" w:hAnsi="Times New Roman"/>
                <w:b/>
                <w:bCs/>
                <w:sz w:val="16"/>
                <w:szCs w:val="16"/>
                <w:lang w:val="ro-RO" w:eastAsia="ru-RU"/>
              </w:rPr>
              <w:t>ă de încasări (%)</w:t>
            </w:r>
          </w:p>
        </w:tc>
      </w:tr>
      <w:tr w:rsidR="00F24302" w:rsidRPr="00121F51" w:rsidTr="006B6AE0">
        <w:trPr>
          <w:cantSplit/>
          <w:trHeight w:val="1934"/>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rPr>
                <w:rFonts w:ascii="Times New Roman" w:hAnsi="Times New Roman"/>
                <w:b/>
                <w:bCs/>
                <w:sz w:val="16"/>
                <w:szCs w:val="16"/>
                <w:lang w:val="ro-RO" w:eastAsia="ru-RU"/>
              </w:rPr>
            </w:pPr>
          </w:p>
        </w:tc>
        <w:tc>
          <w:tcPr>
            <w:tcW w:w="648" w:type="dxa"/>
            <w:vMerge/>
            <w:tcBorders>
              <w:top w:val="single" w:sz="4" w:space="0" w:color="auto"/>
              <w:left w:val="nil"/>
              <w:bottom w:val="single" w:sz="4" w:space="0" w:color="auto"/>
              <w:right w:val="single" w:sz="4" w:space="0" w:color="auto"/>
            </w:tcBorders>
            <w:vAlign w:val="center"/>
            <w:hideMark/>
          </w:tcPr>
          <w:p w:rsidR="00F24302" w:rsidRPr="00121F51" w:rsidRDefault="00F24302" w:rsidP="006B6AE0">
            <w:pPr>
              <w:spacing w:after="0" w:line="240" w:lineRule="auto"/>
              <w:rPr>
                <w:rFonts w:ascii="Times New Roman" w:hAnsi="Times New Roman"/>
                <w:b/>
                <w:bCs/>
                <w:sz w:val="16"/>
                <w:szCs w:val="16"/>
                <w:lang w:val="ro-RO" w:eastAsia="ru-RU"/>
              </w:rPr>
            </w:pPr>
          </w:p>
        </w:tc>
        <w:tc>
          <w:tcPr>
            <w:tcW w:w="783" w:type="dxa"/>
            <w:tcBorders>
              <w:top w:val="nil"/>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aprobat</w:t>
            </w:r>
          </w:p>
        </w:tc>
        <w:tc>
          <w:tcPr>
            <w:tcW w:w="756"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rectificat</w:t>
            </w:r>
          </w:p>
        </w:tc>
        <w:tc>
          <w:tcPr>
            <w:tcW w:w="729" w:type="dxa"/>
            <w:tcBorders>
              <w:top w:val="nil"/>
              <w:left w:val="nil"/>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executat</w:t>
            </w:r>
          </w:p>
        </w:tc>
        <w:tc>
          <w:tcPr>
            <w:tcW w:w="467" w:type="dxa"/>
            <w:tcBorders>
              <w:top w:val="nil"/>
              <w:left w:val="nil"/>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nivelul</w:t>
            </w:r>
          </w:p>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executării (%)</w:t>
            </w:r>
          </w:p>
        </w:tc>
        <w:tc>
          <w:tcPr>
            <w:tcW w:w="742"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aprobat</w:t>
            </w:r>
          </w:p>
        </w:tc>
        <w:tc>
          <w:tcPr>
            <w:tcW w:w="741"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rectificat</w:t>
            </w:r>
          </w:p>
        </w:tc>
        <w:tc>
          <w:tcPr>
            <w:tcW w:w="736" w:type="dxa"/>
            <w:tcBorders>
              <w:top w:val="nil"/>
              <w:left w:val="nil"/>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Pr>
                <w:rFonts w:ascii="Times New Roman" w:hAnsi="Times New Roman"/>
                <w:b/>
                <w:bCs/>
                <w:sz w:val="16"/>
                <w:szCs w:val="16"/>
                <w:lang w:val="ro-RO" w:eastAsia="ru-RU"/>
              </w:rPr>
              <w:t>e</w:t>
            </w:r>
            <w:r w:rsidRPr="00121F51">
              <w:rPr>
                <w:rFonts w:ascii="Times New Roman" w:hAnsi="Times New Roman"/>
                <w:b/>
                <w:bCs/>
                <w:sz w:val="16"/>
                <w:szCs w:val="16"/>
                <w:lang w:val="ro-RO" w:eastAsia="ru-RU"/>
              </w:rPr>
              <w:t>xecutat</w:t>
            </w:r>
          </w:p>
        </w:tc>
        <w:tc>
          <w:tcPr>
            <w:tcW w:w="454" w:type="dxa"/>
            <w:tcBorders>
              <w:top w:val="nil"/>
              <w:left w:val="nil"/>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nivelul</w:t>
            </w:r>
          </w:p>
          <w:p w:rsidR="00F24302" w:rsidRPr="00121F51" w:rsidRDefault="00F24302" w:rsidP="006B6AE0">
            <w:pPr>
              <w:spacing w:after="0" w:line="240" w:lineRule="auto"/>
              <w:ind w:left="-107" w:right="-108"/>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executării (%)</w:t>
            </w: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rPr>
                <w:rFonts w:ascii="Times New Roman" w:hAnsi="Times New Roman"/>
                <w:b/>
                <w:bCs/>
                <w:sz w:val="16"/>
                <w:szCs w:val="16"/>
                <w:lang w:val="ro-RO" w:eastAsia="ru-RU"/>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rPr>
                <w:rFonts w:ascii="Times New Roman" w:hAnsi="Times New Roman"/>
                <w:b/>
                <w:bCs/>
                <w:sz w:val="16"/>
                <w:szCs w:val="16"/>
                <w:lang w:val="ro-RO"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rPr>
                <w:rFonts w:ascii="Times New Roman" w:hAnsi="Times New Roman"/>
                <w:b/>
                <w:bCs/>
                <w:sz w:val="16"/>
                <w:szCs w:val="16"/>
                <w:lang w:val="ro-RO" w:eastAsia="ru-RU"/>
              </w:rPr>
            </w:pPr>
          </w:p>
        </w:tc>
      </w:tr>
      <w:tr w:rsidR="00F24302" w:rsidRPr="00121F51" w:rsidTr="006B6AE0">
        <w:trPr>
          <w:trHeight w:val="420"/>
        </w:trPr>
        <w:tc>
          <w:tcPr>
            <w:tcW w:w="1872" w:type="dxa"/>
            <w:tcBorders>
              <w:top w:val="nil"/>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88" w:right="-76"/>
              <w:rPr>
                <w:rFonts w:ascii="Times New Roman" w:hAnsi="Times New Roman"/>
                <w:b/>
                <w:bCs/>
                <w:sz w:val="16"/>
                <w:szCs w:val="16"/>
                <w:lang w:val="ro-RO" w:eastAsia="ru-RU"/>
              </w:rPr>
            </w:pPr>
            <w:r w:rsidRPr="00121F51">
              <w:rPr>
                <w:rFonts w:ascii="Times New Roman" w:hAnsi="Times New Roman"/>
                <w:b/>
                <w:bCs/>
                <w:sz w:val="16"/>
                <w:szCs w:val="16"/>
                <w:lang w:val="ro-RO" w:eastAsia="ru-RU"/>
              </w:rPr>
              <w:t>Bugetele UAT din raionul Sîngerei, din care:</w:t>
            </w:r>
          </w:p>
        </w:tc>
        <w:tc>
          <w:tcPr>
            <w:tcW w:w="648" w:type="dxa"/>
            <w:tcBorders>
              <w:top w:val="single" w:sz="4" w:space="0" w:color="auto"/>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25006,1</w:t>
            </w:r>
          </w:p>
        </w:tc>
        <w:tc>
          <w:tcPr>
            <w:tcW w:w="783" w:type="dxa"/>
            <w:tcBorders>
              <w:top w:val="nil"/>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right="-76"/>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242515,7</w:t>
            </w:r>
          </w:p>
        </w:tc>
        <w:tc>
          <w:tcPr>
            <w:tcW w:w="756"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291339,5</w:t>
            </w:r>
          </w:p>
        </w:tc>
        <w:tc>
          <w:tcPr>
            <w:tcW w:w="729"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273888,7</w:t>
            </w:r>
          </w:p>
        </w:tc>
        <w:tc>
          <w:tcPr>
            <w:tcW w:w="467"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94,0</w:t>
            </w:r>
          </w:p>
        </w:tc>
        <w:tc>
          <w:tcPr>
            <w:tcW w:w="742"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241509,5</w:t>
            </w:r>
          </w:p>
        </w:tc>
        <w:tc>
          <w:tcPr>
            <w:tcW w:w="741"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312512,8</w:t>
            </w:r>
          </w:p>
        </w:tc>
        <w:tc>
          <w:tcPr>
            <w:tcW w:w="736"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285238,7</w:t>
            </w:r>
          </w:p>
        </w:tc>
        <w:tc>
          <w:tcPr>
            <w:tcW w:w="454"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91,3</w:t>
            </w:r>
          </w:p>
        </w:tc>
        <w:tc>
          <w:tcPr>
            <w:tcW w:w="648"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14972,0</w:t>
            </w:r>
          </w:p>
        </w:tc>
        <w:tc>
          <w:tcPr>
            <w:tcW w:w="635"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-11350,1</w:t>
            </w:r>
          </w:p>
        </w:tc>
        <w:tc>
          <w:tcPr>
            <w:tcW w:w="680"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b/>
                <w:bCs/>
                <w:sz w:val="16"/>
                <w:szCs w:val="16"/>
                <w:lang w:val="ro-RO" w:eastAsia="ru-RU"/>
              </w:rPr>
            </w:pPr>
            <w:r w:rsidRPr="00121F51">
              <w:rPr>
                <w:rFonts w:ascii="Times New Roman" w:hAnsi="Times New Roman"/>
                <w:b/>
                <w:bCs/>
                <w:sz w:val="16"/>
                <w:szCs w:val="16"/>
                <w:lang w:val="ro-RO" w:eastAsia="ru-RU"/>
              </w:rPr>
              <w:t>104,1</w:t>
            </w:r>
          </w:p>
        </w:tc>
      </w:tr>
      <w:tr w:rsidR="00F24302" w:rsidRPr="00121F51" w:rsidTr="006B6AE0">
        <w:trPr>
          <w:trHeight w:val="315"/>
        </w:trPr>
        <w:tc>
          <w:tcPr>
            <w:tcW w:w="1872" w:type="dxa"/>
            <w:tcBorders>
              <w:top w:val="nil"/>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88" w:right="-76"/>
              <w:rPr>
                <w:rFonts w:ascii="Times New Roman" w:hAnsi="Times New Roman"/>
                <w:sz w:val="16"/>
                <w:szCs w:val="16"/>
                <w:lang w:val="ro-RO" w:eastAsia="ru-RU"/>
              </w:rPr>
            </w:pPr>
            <w:r w:rsidRPr="00121F51">
              <w:rPr>
                <w:rFonts w:ascii="Times New Roman" w:hAnsi="Times New Roman"/>
                <w:sz w:val="16"/>
                <w:szCs w:val="16"/>
                <w:lang w:val="ro-RO" w:eastAsia="ru-RU"/>
              </w:rPr>
              <w:t>Bugetul raional (nivelul II)</w:t>
            </w:r>
          </w:p>
        </w:tc>
        <w:tc>
          <w:tcPr>
            <w:tcW w:w="648" w:type="dxa"/>
            <w:tcBorders>
              <w:top w:val="single" w:sz="4" w:space="0" w:color="auto"/>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11178,8</w:t>
            </w:r>
          </w:p>
        </w:tc>
        <w:tc>
          <w:tcPr>
            <w:tcW w:w="783" w:type="dxa"/>
            <w:tcBorders>
              <w:top w:val="nil"/>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157970,0</w:t>
            </w:r>
          </w:p>
        </w:tc>
        <w:tc>
          <w:tcPr>
            <w:tcW w:w="756"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178029,6</w:t>
            </w:r>
          </w:p>
        </w:tc>
        <w:tc>
          <w:tcPr>
            <w:tcW w:w="729"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162903,7</w:t>
            </w:r>
          </w:p>
        </w:tc>
        <w:tc>
          <w:tcPr>
            <w:tcW w:w="467"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91,5</w:t>
            </w:r>
          </w:p>
        </w:tc>
        <w:tc>
          <w:tcPr>
            <w:tcW w:w="742"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156290,0</w:t>
            </w:r>
          </w:p>
        </w:tc>
        <w:tc>
          <w:tcPr>
            <w:tcW w:w="741"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186651,3</w:t>
            </w:r>
          </w:p>
        </w:tc>
        <w:tc>
          <w:tcPr>
            <w:tcW w:w="736"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166960,9</w:t>
            </w:r>
          </w:p>
        </w:tc>
        <w:tc>
          <w:tcPr>
            <w:tcW w:w="454"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89,4</w:t>
            </w:r>
          </w:p>
        </w:tc>
        <w:tc>
          <w:tcPr>
            <w:tcW w:w="648"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5105,5</w:t>
            </w:r>
          </w:p>
        </w:tc>
        <w:tc>
          <w:tcPr>
            <w:tcW w:w="635"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-4057,2</w:t>
            </w:r>
          </w:p>
        </w:tc>
        <w:tc>
          <w:tcPr>
            <w:tcW w:w="680"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102,5</w:t>
            </w:r>
          </w:p>
        </w:tc>
      </w:tr>
      <w:tr w:rsidR="00F24302" w:rsidRPr="00121F51" w:rsidTr="006B6AE0">
        <w:trPr>
          <w:trHeight w:val="278"/>
        </w:trPr>
        <w:tc>
          <w:tcPr>
            <w:tcW w:w="1872" w:type="dxa"/>
            <w:tcBorders>
              <w:top w:val="nil"/>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88" w:right="-76"/>
              <w:rPr>
                <w:rFonts w:ascii="Times New Roman" w:hAnsi="Times New Roman"/>
                <w:sz w:val="16"/>
                <w:szCs w:val="16"/>
                <w:lang w:val="ro-RO" w:eastAsia="ru-RU"/>
              </w:rPr>
            </w:pPr>
            <w:r w:rsidRPr="00121F51">
              <w:rPr>
                <w:rFonts w:ascii="Times New Roman" w:hAnsi="Times New Roman"/>
                <w:sz w:val="16"/>
                <w:szCs w:val="16"/>
                <w:lang w:val="ro-RO" w:eastAsia="ru-RU"/>
              </w:rPr>
              <w:t>Bugetul local (nivelul I)</w:t>
            </w:r>
          </w:p>
        </w:tc>
        <w:tc>
          <w:tcPr>
            <w:tcW w:w="648" w:type="dxa"/>
            <w:tcBorders>
              <w:top w:val="single" w:sz="4" w:space="0" w:color="auto"/>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13827,3</w:t>
            </w:r>
          </w:p>
        </w:tc>
        <w:tc>
          <w:tcPr>
            <w:tcW w:w="783" w:type="dxa"/>
            <w:tcBorders>
              <w:top w:val="nil"/>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84545,7</w:t>
            </w:r>
          </w:p>
        </w:tc>
        <w:tc>
          <w:tcPr>
            <w:tcW w:w="756"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113309,9</w:t>
            </w:r>
          </w:p>
        </w:tc>
        <w:tc>
          <w:tcPr>
            <w:tcW w:w="729"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110985,0</w:t>
            </w:r>
          </w:p>
        </w:tc>
        <w:tc>
          <w:tcPr>
            <w:tcW w:w="467"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97,9</w:t>
            </w:r>
          </w:p>
        </w:tc>
        <w:tc>
          <w:tcPr>
            <w:tcW w:w="742"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85219,5</w:t>
            </w:r>
          </w:p>
        </w:tc>
        <w:tc>
          <w:tcPr>
            <w:tcW w:w="741"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125861,5</w:t>
            </w:r>
          </w:p>
        </w:tc>
        <w:tc>
          <w:tcPr>
            <w:tcW w:w="736"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118277,8</w:t>
            </w:r>
          </w:p>
        </w:tc>
        <w:tc>
          <w:tcPr>
            <w:tcW w:w="454"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94,0</w:t>
            </w:r>
          </w:p>
        </w:tc>
        <w:tc>
          <w:tcPr>
            <w:tcW w:w="648"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9866,5</w:t>
            </w:r>
          </w:p>
        </w:tc>
        <w:tc>
          <w:tcPr>
            <w:tcW w:w="635"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-7292,9</w:t>
            </w:r>
          </w:p>
        </w:tc>
        <w:tc>
          <w:tcPr>
            <w:tcW w:w="680" w:type="dxa"/>
            <w:tcBorders>
              <w:top w:val="nil"/>
              <w:left w:val="nil"/>
              <w:bottom w:val="single" w:sz="4" w:space="0" w:color="auto"/>
              <w:right w:val="single" w:sz="4" w:space="0" w:color="auto"/>
            </w:tcBorders>
            <w:vAlign w:val="center"/>
            <w:hideMark/>
          </w:tcPr>
          <w:p w:rsidR="00F24302" w:rsidRPr="00121F51" w:rsidRDefault="00F24302" w:rsidP="006B6AE0">
            <w:pPr>
              <w:spacing w:after="0" w:line="240" w:lineRule="auto"/>
              <w:ind w:left="-88" w:right="-76"/>
              <w:jc w:val="center"/>
              <w:rPr>
                <w:rFonts w:ascii="Times New Roman" w:hAnsi="Times New Roman"/>
                <w:sz w:val="16"/>
                <w:szCs w:val="16"/>
                <w:lang w:val="ro-RO" w:eastAsia="ru-RU"/>
              </w:rPr>
            </w:pPr>
            <w:r w:rsidRPr="00121F51">
              <w:rPr>
                <w:rFonts w:ascii="Times New Roman" w:hAnsi="Times New Roman"/>
                <w:sz w:val="16"/>
                <w:szCs w:val="16"/>
                <w:lang w:val="ro-RO" w:eastAsia="ru-RU"/>
              </w:rPr>
              <w:t>106,6</w:t>
            </w:r>
          </w:p>
        </w:tc>
      </w:tr>
    </w:tbl>
    <w:p w:rsidR="00F24302" w:rsidRPr="00121F51" w:rsidRDefault="00F24302" w:rsidP="00F24302">
      <w:pPr>
        <w:spacing w:after="120" w:line="240" w:lineRule="auto"/>
        <w:jc w:val="both"/>
        <w:rPr>
          <w:rFonts w:ascii="Times New Roman" w:hAnsi="Times New Roman"/>
          <w:i/>
          <w:sz w:val="20"/>
          <w:szCs w:val="20"/>
          <w:lang w:val="ro-RO"/>
        </w:rPr>
      </w:pPr>
      <w:r w:rsidRPr="00121F51">
        <w:rPr>
          <w:rFonts w:ascii="Times New Roman" w:hAnsi="Times New Roman"/>
          <w:b/>
          <w:i/>
          <w:sz w:val="20"/>
          <w:szCs w:val="20"/>
          <w:lang w:val="ro-RO"/>
        </w:rPr>
        <w:t>Sursă:</w:t>
      </w:r>
      <w:r w:rsidRPr="00121F51">
        <w:rPr>
          <w:rFonts w:ascii="Times New Roman" w:hAnsi="Times New Roman"/>
          <w:i/>
          <w:sz w:val="20"/>
          <w:szCs w:val="20"/>
          <w:lang w:val="ro-RO"/>
        </w:rPr>
        <w:t xml:space="preserve"> Raportul privind executarea bugetelor UAT din raionul Sîngerei pe venituri </w:t>
      </w:r>
      <w:r w:rsidRPr="007735F3">
        <w:rPr>
          <w:rFonts w:ascii="Times New Roman" w:hAnsi="Times New Roman"/>
          <w:i/>
          <w:sz w:val="20"/>
          <w:szCs w:val="20"/>
          <w:lang w:val="ro-RO"/>
        </w:rPr>
        <w:t>ș</w:t>
      </w:r>
      <w:r w:rsidRPr="00121F51">
        <w:rPr>
          <w:rFonts w:ascii="Times New Roman" w:hAnsi="Times New Roman"/>
          <w:i/>
          <w:sz w:val="20"/>
          <w:szCs w:val="20"/>
          <w:lang w:val="ro-RO"/>
        </w:rPr>
        <w:t>i pe cheltuieli la toate componentele pe anul 2015.</w:t>
      </w:r>
    </w:p>
    <w:p w:rsidR="00F24302" w:rsidRPr="00121F51" w:rsidRDefault="00F24302" w:rsidP="00F24302">
      <w:pPr>
        <w:spacing w:after="0" w:line="240" w:lineRule="auto"/>
        <w:ind w:right="-1" w:firstLine="567"/>
        <w:jc w:val="both"/>
        <w:rPr>
          <w:rFonts w:ascii="Times New Roman" w:hAnsi="Times New Roman"/>
          <w:lang w:val="ro-RO"/>
        </w:rPr>
      </w:pPr>
      <w:r w:rsidRPr="00121F51">
        <w:rPr>
          <w:rFonts w:ascii="Times New Roman" w:hAnsi="Times New Roman"/>
          <w:lang w:val="ro-RO"/>
        </w:rPr>
        <w:t xml:space="preserve">Analiza bugetelor UAT din raion denotă că sursa de bază a veniturilor o constituie transferurile de la bugetul de stat, fondurile speciale și proiectele investiționale a căror pondere a atins nivelul de 85,6%, prin urmare veniturile proprii, mijloacele speciale și defalcările de la veniturile generale de stat au constituit 14,4%. </w:t>
      </w:r>
    </w:p>
    <w:p w:rsidR="00F24302" w:rsidRPr="00121F51" w:rsidRDefault="00F24302" w:rsidP="00F24302">
      <w:pPr>
        <w:spacing w:after="0" w:line="240" w:lineRule="auto"/>
        <w:ind w:right="-1" w:firstLine="567"/>
        <w:jc w:val="both"/>
        <w:rPr>
          <w:rFonts w:ascii="Times New Roman" w:hAnsi="Times New Roman"/>
          <w:lang w:val="ro-RO"/>
        </w:rPr>
      </w:pPr>
      <w:r w:rsidRPr="00121F51">
        <w:rPr>
          <w:rFonts w:ascii="Times New Roman" w:eastAsia="SimSun" w:hAnsi="Times New Roman"/>
          <w:bCs/>
          <w:lang w:val="ro-RO"/>
        </w:rPr>
        <w:t>P</w:t>
      </w:r>
      <w:r w:rsidRPr="00121F51">
        <w:rPr>
          <w:rFonts w:ascii="Times New Roman" w:hAnsi="Times New Roman"/>
          <w:lang w:val="ro-RO"/>
        </w:rPr>
        <w:t>e parcursul ultimilor 5 ani, veniturile totale ale bugetelor UAT au avut o tendință de creștere de la 189,0 mil.lei (în 2011) pînă la 273,8 mil.lei (în 2015)</w:t>
      </w:r>
      <w:r>
        <w:rPr>
          <w:rFonts w:ascii="Times New Roman" w:hAnsi="Times New Roman"/>
          <w:lang w:val="ro-RO"/>
        </w:rPr>
        <w:t>,</w:t>
      </w:r>
      <w:r w:rsidRPr="00121F51">
        <w:rPr>
          <w:rFonts w:ascii="Times New Roman" w:hAnsi="Times New Roman"/>
          <w:lang w:val="ro-RO"/>
        </w:rPr>
        <w:t xml:space="preserve"> sau cu 84,8 mil.lei (44,9%)  inclusiv: transferurile, de la 158,0 mil.lei (în 2011) </w:t>
      </w:r>
      <w:r w:rsidRPr="00121F51">
        <w:rPr>
          <w:rFonts w:ascii="Times New Roman" w:hAnsi="Times New Roman"/>
          <w:bCs/>
          <w:lang w:val="ro-RO"/>
        </w:rPr>
        <w:t>pînă la 234,5  mil.lei (în 2015), sau cu 76,5 mil.lei (48,4%)</w:t>
      </w:r>
      <w:r>
        <w:rPr>
          <w:rFonts w:ascii="Times New Roman" w:hAnsi="Times New Roman"/>
          <w:bCs/>
          <w:lang w:val="ro-RO"/>
        </w:rPr>
        <w:t>,</w:t>
      </w:r>
      <w:r w:rsidRPr="00121F51">
        <w:rPr>
          <w:rFonts w:ascii="Times New Roman" w:hAnsi="Times New Roman"/>
          <w:bCs/>
          <w:lang w:val="ro-RO"/>
        </w:rPr>
        <w:t xml:space="preserve"> iar</w:t>
      </w:r>
      <w:r w:rsidRPr="00121F51">
        <w:rPr>
          <w:rFonts w:ascii="Times New Roman" w:hAnsi="Times New Roman"/>
          <w:lang w:val="ro-RO"/>
        </w:rPr>
        <w:t xml:space="preserve"> veniturile proprii au crescut de la 30,7 mil.lei (în 2011) pînă la 39,2 mil.lei (în 2015), sau cu 8,5 mil.lei</w:t>
      </w:r>
      <w:r>
        <w:rPr>
          <w:rFonts w:ascii="Times New Roman" w:hAnsi="Times New Roman"/>
          <w:lang w:val="ro-RO"/>
        </w:rPr>
        <w:t xml:space="preserve"> </w:t>
      </w:r>
      <w:r w:rsidRPr="00121F51">
        <w:rPr>
          <w:rFonts w:ascii="Times New Roman" w:hAnsi="Times New Roman"/>
          <w:lang w:val="ro-RO"/>
        </w:rPr>
        <w:t xml:space="preserve">(27,6%). </w:t>
      </w:r>
    </w:p>
    <w:p w:rsidR="00F24302" w:rsidRPr="00121F51" w:rsidRDefault="00F24302" w:rsidP="00F24302">
      <w:pPr>
        <w:spacing w:after="0" w:line="240" w:lineRule="auto"/>
        <w:ind w:firstLine="567"/>
        <w:jc w:val="both"/>
        <w:rPr>
          <w:rFonts w:ascii="Times New Roman" w:hAnsi="Times New Roman"/>
          <w:color w:val="000000"/>
          <w:lang w:val="ro-RO"/>
        </w:rPr>
      </w:pPr>
      <w:r w:rsidRPr="00121F51">
        <w:rPr>
          <w:rFonts w:ascii="Times New Roman" w:hAnsi="Times New Roman"/>
          <w:lang w:val="ro-RO"/>
        </w:rPr>
        <w:t>Prin prisma clasificației economice, ponderea cea mai mare în totalul cheltuielilor bugetelor UAT din raion revine cheltuielilor pentru remunerarea muncii și plăților corespunzătoare care derivă din acestea – 48,5%, urmate de cheltuielile capitale – 25,9%, și cheltuielile la art.113.00 „Plata mărfurilor şi serviciilor” – 18,0%. Totodată, în aspectul clasificației funcționale, ponderea cea mai mare revine</w:t>
      </w:r>
      <w:r w:rsidRPr="00121F51">
        <w:rPr>
          <w:rFonts w:ascii="Times New Roman" w:hAnsi="Times New Roman"/>
          <w:color w:val="000000"/>
          <w:lang w:val="ro-RO"/>
        </w:rPr>
        <w:t xml:space="preserve"> </w:t>
      </w:r>
      <w:r w:rsidRPr="00121F51">
        <w:rPr>
          <w:rFonts w:ascii="Times New Roman" w:hAnsi="Times New Roman"/>
          <w:lang w:val="ro-RO"/>
        </w:rPr>
        <w:t xml:space="preserve">cheltuielilor de casă </w:t>
      </w:r>
      <w:r w:rsidRPr="00121F51">
        <w:rPr>
          <w:rFonts w:ascii="Times New Roman" w:hAnsi="Times New Roman"/>
          <w:color w:val="000000"/>
          <w:lang w:val="ro-RO"/>
        </w:rPr>
        <w:t>reflectate la grupa 06 „Învăţămîntul” – 53,8 %, urmate de cele reflectate la grupa 11„Agricultura, gospodăria silvică, gospodăria piscicolă și gospodăria apelor” – 8,5%</w:t>
      </w:r>
      <w:r>
        <w:rPr>
          <w:rFonts w:ascii="Times New Roman" w:hAnsi="Times New Roman"/>
          <w:color w:val="000000"/>
          <w:lang w:val="ro-RO"/>
        </w:rPr>
        <w:t>,</w:t>
      </w:r>
      <w:r w:rsidRPr="00121F51">
        <w:rPr>
          <w:rFonts w:ascii="Times New Roman" w:hAnsi="Times New Roman"/>
          <w:color w:val="000000"/>
          <w:lang w:val="ro-RO"/>
        </w:rPr>
        <w:t xml:space="preserve"> și 01 „Servicii de stat cu destinație generală”, la care nivelul de executare a constituit 7,1%. </w:t>
      </w:r>
    </w:p>
    <w:p w:rsidR="00F24302" w:rsidRPr="00121F51" w:rsidRDefault="00F24302" w:rsidP="00F24302">
      <w:pPr>
        <w:spacing w:after="0" w:line="240" w:lineRule="auto"/>
        <w:ind w:firstLine="567"/>
        <w:jc w:val="both"/>
        <w:rPr>
          <w:rFonts w:ascii="Times New Roman" w:hAnsi="Times New Roman"/>
          <w:lang w:val="ro-RO"/>
        </w:rPr>
      </w:pPr>
      <w:r w:rsidRPr="00121F51">
        <w:rPr>
          <w:rFonts w:ascii="Times New Roman" w:hAnsi="Times New Roman"/>
          <w:color w:val="000000"/>
          <w:lang w:val="ro-RO"/>
        </w:rPr>
        <w:t>Deşi execuția bugetară s-a încheiat cu un sold de mijloace bugetare în sumă totală de 14,9 mil.lei, în perioada de raportare nu au fost valorificate mijloacele financiare pe unele articole în parte, în sumă totală de 27,2 mil.lei, din care cele mai mari sume nevalorificate fiind la grupele: 06 „Învăţămîntul” – 13,2 mil.lei;</w:t>
      </w:r>
      <w:r w:rsidRPr="00121F51">
        <w:rPr>
          <w:rFonts w:ascii="Times New Roman" w:hAnsi="Times New Roman"/>
          <w:lang w:val="ro-RO"/>
        </w:rPr>
        <w:t xml:space="preserve"> 11</w:t>
      </w:r>
      <w:r>
        <w:rPr>
          <w:rFonts w:ascii="Times New Roman" w:hAnsi="Times New Roman"/>
          <w:lang w:val="ro-RO"/>
        </w:rPr>
        <w:t xml:space="preserve"> </w:t>
      </w:r>
      <w:r w:rsidRPr="00121F51">
        <w:rPr>
          <w:rFonts w:ascii="Times New Roman" w:hAnsi="Times New Roman"/>
          <w:color w:val="000000"/>
          <w:lang w:val="ro-RO"/>
        </w:rPr>
        <w:t>„Agricultura, gospodăria silvică, gospodăria piscicolă și gospodăria apelor</w:t>
      </w:r>
      <w:r w:rsidRPr="00121F51">
        <w:rPr>
          <w:rFonts w:ascii="Times New Roman" w:hAnsi="Times New Roman"/>
          <w:lang w:val="ro-RO"/>
        </w:rPr>
        <w:t>”</w:t>
      </w:r>
      <w:r>
        <w:rPr>
          <w:rFonts w:ascii="Times New Roman" w:hAnsi="Times New Roman"/>
          <w:lang w:val="ro-RO"/>
        </w:rPr>
        <w:t xml:space="preserve"> – </w:t>
      </w:r>
      <w:r w:rsidRPr="00121F51">
        <w:rPr>
          <w:rFonts w:ascii="Times New Roman" w:hAnsi="Times New Roman"/>
          <w:lang w:val="ro-RO"/>
        </w:rPr>
        <w:t xml:space="preserve">2,8 mil.lei; </w:t>
      </w:r>
      <w:r w:rsidRPr="00121F51">
        <w:rPr>
          <w:rFonts w:ascii="Times New Roman" w:hAnsi="Times New Roman"/>
          <w:color w:val="000000"/>
          <w:lang w:val="ro-RO"/>
        </w:rPr>
        <w:t>14 „Transportul, gospodăria drumurilor, comunicațiile și informatica</w:t>
      </w:r>
      <w:r w:rsidRPr="00121F51">
        <w:rPr>
          <w:rFonts w:ascii="Times New Roman" w:hAnsi="Times New Roman"/>
          <w:lang w:val="ro-RO"/>
        </w:rPr>
        <w:t>” – 2,9 mil.lei etc.</w:t>
      </w:r>
    </w:p>
    <w:p w:rsidR="00F24302" w:rsidRPr="00121F51" w:rsidRDefault="00F24302" w:rsidP="00F24302">
      <w:pPr>
        <w:spacing w:after="0" w:line="240" w:lineRule="auto"/>
        <w:ind w:firstLine="567"/>
        <w:jc w:val="both"/>
        <w:rPr>
          <w:rFonts w:ascii="Times New Roman" w:hAnsi="Times New Roman"/>
          <w:lang w:val="ro-RO"/>
        </w:rPr>
      </w:pPr>
      <w:r w:rsidRPr="00121F51">
        <w:rPr>
          <w:rFonts w:ascii="Times New Roman" w:hAnsi="Times New Roman"/>
          <w:lang w:val="ro-RO"/>
        </w:rPr>
        <w:t>Pe parcursul anului 2015, datoriile creditoare ale raionului s-au micșorat cu 1,6 mil.lei, la situația din 01.01.2016 constituind 34,2 mil.lei, din care: la grupa 06 – în mărime de 13,4 mil.lei, la grupa 01 – în mărime de 1,1 mil.lei, la grupa 08 – în mărime de 1,2 mil.lei, la grupa 11 –</w:t>
      </w:r>
      <w:r>
        <w:rPr>
          <w:rFonts w:ascii="Times New Roman" w:hAnsi="Times New Roman"/>
          <w:lang w:val="ro-RO"/>
        </w:rPr>
        <w:t xml:space="preserve"> </w:t>
      </w:r>
      <w:r w:rsidRPr="00121F51">
        <w:rPr>
          <w:rFonts w:ascii="Times New Roman" w:hAnsi="Times New Roman"/>
          <w:lang w:val="ro-RO"/>
        </w:rPr>
        <w:t>în mărime de 6,1 mil.lei, la grupa 12 – în mărime de 8,8 mil.lei</w:t>
      </w:r>
      <w:r>
        <w:rPr>
          <w:rFonts w:ascii="Times New Roman" w:hAnsi="Times New Roman"/>
          <w:lang w:val="ro-RO"/>
        </w:rPr>
        <w:t xml:space="preserve"> și</w:t>
      </w:r>
      <w:r w:rsidRPr="00121F51">
        <w:rPr>
          <w:rFonts w:ascii="Times New Roman" w:hAnsi="Times New Roman"/>
          <w:lang w:val="ro-RO"/>
        </w:rPr>
        <w:t xml:space="preserve"> la grupa 14</w:t>
      </w:r>
      <w:r>
        <w:rPr>
          <w:rFonts w:ascii="Times New Roman" w:hAnsi="Times New Roman"/>
          <w:lang w:val="ro-RO"/>
        </w:rPr>
        <w:t xml:space="preserve"> –</w:t>
      </w:r>
      <w:r w:rsidRPr="00121F51">
        <w:rPr>
          <w:rFonts w:ascii="Times New Roman" w:hAnsi="Times New Roman"/>
          <w:lang w:val="ro-RO"/>
        </w:rPr>
        <w:t xml:space="preserve"> în mărime de 2,1 mil.lei etc. La finele anului 2015</w:t>
      </w:r>
      <w:r>
        <w:rPr>
          <w:rFonts w:ascii="Times New Roman" w:hAnsi="Times New Roman"/>
          <w:lang w:val="ro-RO"/>
        </w:rPr>
        <w:t>,</w:t>
      </w:r>
      <w:r w:rsidRPr="00121F51">
        <w:rPr>
          <w:rFonts w:ascii="Times New Roman" w:hAnsi="Times New Roman"/>
          <w:lang w:val="ro-RO"/>
        </w:rPr>
        <w:t xml:space="preserve"> datoriile debitoare au fost înregistrate în descreștere cu 1,7 mil.lei și au constituit 0,6 mil.l</w:t>
      </w:r>
      <w:r>
        <w:rPr>
          <w:rFonts w:ascii="Times New Roman" w:hAnsi="Times New Roman"/>
          <w:lang w:val="ro-RO"/>
        </w:rPr>
        <w:t>ei.</w:t>
      </w:r>
    </w:p>
    <w:p w:rsidR="00F24302" w:rsidRPr="00121F51" w:rsidRDefault="00F24302" w:rsidP="00F24302">
      <w:pPr>
        <w:spacing w:after="120" w:line="240" w:lineRule="auto"/>
        <w:rPr>
          <w:rFonts w:ascii="Times New Roman" w:hAnsi="Times New Roman"/>
          <w:i/>
          <w:sz w:val="20"/>
          <w:szCs w:val="20"/>
          <w:lang w:val="ro-RO"/>
        </w:rPr>
      </w:pPr>
    </w:p>
    <w:p w:rsidR="00F24302" w:rsidRPr="00121F51" w:rsidRDefault="00F24302" w:rsidP="00F24302">
      <w:pPr>
        <w:pStyle w:val="a3"/>
        <w:jc w:val="right"/>
        <w:rPr>
          <w:b/>
          <w:lang w:val="ro-RO"/>
        </w:rPr>
      </w:pPr>
      <w:r w:rsidRPr="00121F51">
        <w:rPr>
          <w:b/>
          <w:sz w:val="20"/>
          <w:lang w:val="ro-RO"/>
        </w:rPr>
        <w:lastRenderedPageBreak/>
        <w:t>Tabelul nr.2</w:t>
      </w:r>
    </w:p>
    <w:p w:rsidR="00F24302" w:rsidRPr="00121F51" w:rsidRDefault="00F24302" w:rsidP="00F24302">
      <w:pPr>
        <w:pStyle w:val="a3"/>
        <w:jc w:val="center"/>
        <w:rPr>
          <w:b/>
          <w:lang w:val="ro-RO"/>
        </w:rPr>
      </w:pPr>
      <w:r w:rsidRPr="00121F51">
        <w:rPr>
          <w:b/>
          <w:lang w:val="ro-RO"/>
        </w:rPr>
        <w:t>Dinamica realizării veniturilor bugetelor UAT pe perioada 2011-2015</w:t>
      </w:r>
    </w:p>
    <w:p w:rsidR="00F24302" w:rsidRPr="00121F51" w:rsidRDefault="00F24302" w:rsidP="00F24302">
      <w:pPr>
        <w:pStyle w:val="a3"/>
        <w:jc w:val="right"/>
        <w:rPr>
          <w:sz w:val="20"/>
          <w:lang w:val="ro-RO"/>
        </w:rPr>
      </w:pPr>
      <w:r>
        <w:rPr>
          <w:sz w:val="20"/>
          <w:lang w:val="ro-RO"/>
        </w:rPr>
        <w:t>(</w:t>
      </w:r>
      <w:r w:rsidRPr="0098198B">
        <w:rPr>
          <w:i/>
          <w:sz w:val="20"/>
          <w:lang w:val="ro-RO"/>
        </w:rPr>
        <w:t>mii lei</w:t>
      </w:r>
      <w:r>
        <w:rPr>
          <w:sz w:val="20"/>
          <w:lang w:val="ro-RO"/>
        </w:rPr>
        <w:t>)</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851"/>
        <w:gridCol w:w="568"/>
        <w:gridCol w:w="879"/>
        <w:gridCol w:w="658"/>
        <w:gridCol w:w="906"/>
        <w:gridCol w:w="708"/>
        <w:gridCol w:w="792"/>
        <w:gridCol w:w="567"/>
        <w:gridCol w:w="9"/>
        <w:gridCol w:w="810"/>
        <w:gridCol w:w="516"/>
      </w:tblGrid>
      <w:tr w:rsidR="00F24302" w:rsidRPr="00121F51" w:rsidTr="006B6AE0">
        <w:trPr>
          <w:cantSplit/>
          <w:trHeight w:val="233"/>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rPr>
                <w:b/>
                <w:sz w:val="18"/>
                <w:szCs w:val="18"/>
                <w:lang w:val="ro-RO" w:eastAsia="en-US"/>
              </w:rPr>
            </w:pPr>
            <w:r w:rsidRPr="00121F51">
              <w:rPr>
                <w:b/>
                <w:sz w:val="18"/>
                <w:szCs w:val="18"/>
                <w:lang w:val="ro-RO" w:eastAsia="en-US"/>
              </w:rPr>
              <w:t>Categoria de venituri</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ind w:right="-82"/>
              <w:jc w:val="center"/>
              <w:rPr>
                <w:b/>
                <w:sz w:val="18"/>
                <w:szCs w:val="18"/>
                <w:lang w:val="ro-RO" w:eastAsia="en-US"/>
              </w:rPr>
            </w:pPr>
            <w:r w:rsidRPr="00121F51">
              <w:rPr>
                <w:b/>
                <w:sz w:val="18"/>
                <w:szCs w:val="18"/>
                <w:lang w:val="ro-RO" w:eastAsia="en-US"/>
              </w:rPr>
              <w:t>Anul 2011</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tabs>
                <w:tab w:val="left" w:pos="455"/>
              </w:tabs>
              <w:ind w:left="-109" w:right="113"/>
              <w:jc w:val="center"/>
              <w:rPr>
                <w:b/>
                <w:sz w:val="18"/>
                <w:szCs w:val="18"/>
                <w:lang w:val="ro-RO" w:eastAsia="en-US"/>
              </w:rPr>
            </w:pPr>
            <w:r w:rsidRPr="00121F51">
              <w:rPr>
                <w:b/>
                <w:sz w:val="18"/>
                <w:szCs w:val="18"/>
                <w:lang w:val="ro-RO" w:eastAsia="en-US"/>
              </w:rPr>
              <w:t>Anul 2012</w:t>
            </w:r>
          </w:p>
        </w:tc>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tabs>
                <w:tab w:val="left" w:pos="455"/>
              </w:tabs>
              <w:ind w:left="-109" w:right="113"/>
              <w:jc w:val="center"/>
              <w:rPr>
                <w:b/>
                <w:sz w:val="18"/>
                <w:szCs w:val="18"/>
                <w:lang w:val="ro-RO" w:eastAsia="en-US"/>
              </w:rPr>
            </w:pPr>
            <w:r w:rsidRPr="00121F51">
              <w:rPr>
                <w:b/>
                <w:sz w:val="18"/>
                <w:szCs w:val="18"/>
                <w:lang w:val="ro-RO" w:eastAsia="en-US"/>
              </w:rPr>
              <w:t>Anul 2013</w:t>
            </w:r>
          </w:p>
        </w:tc>
        <w:tc>
          <w:tcPr>
            <w:tcW w:w="1368" w:type="dxa"/>
            <w:gridSpan w:val="3"/>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tabs>
                <w:tab w:val="left" w:pos="456"/>
              </w:tabs>
              <w:ind w:left="-109" w:right="113"/>
              <w:jc w:val="center"/>
              <w:rPr>
                <w:b/>
                <w:sz w:val="18"/>
                <w:szCs w:val="18"/>
                <w:lang w:val="ro-RO" w:eastAsia="en-US"/>
              </w:rPr>
            </w:pPr>
            <w:r w:rsidRPr="00121F51">
              <w:rPr>
                <w:b/>
                <w:sz w:val="18"/>
                <w:szCs w:val="18"/>
                <w:lang w:val="ro-RO" w:eastAsia="en-US"/>
              </w:rPr>
              <w:t>Anul 2014</w:t>
            </w:r>
          </w:p>
        </w:tc>
        <w:tc>
          <w:tcPr>
            <w:tcW w:w="1326" w:type="dxa"/>
            <w:gridSpan w:val="2"/>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tabs>
                <w:tab w:val="left" w:pos="455"/>
              </w:tabs>
              <w:ind w:left="-109" w:right="-3"/>
              <w:jc w:val="center"/>
              <w:rPr>
                <w:b/>
                <w:sz w:val="18"/>
                <w:szCs w:val="18"/>
                <w:lang w:val="ro-RO" w:eastAsia="en-US"/>
              </w:rPr>
            </w:pPr>
            <w:r w:rsidRPr="00121F51">
              <w:rPr>
                <w:b/>
                <w:sz w:val="18"/>
                <w:szCs w:val="18"/>
                <w:lang w:val="ro-RO" w:eastAsia="en-US"/>
              </w:rPr>
              <w:t>Anul 2015</w:t>
            </w:r>
          </w:p>
        </w:tc>
      </w:tr>
      <w:tr w:rsidR="00F24302" w:rsidRPr="00121F51" w:rsidTr="006B6AE0">
        <w:trPr>
          <w:cantSplit/>
          <w:trHeight w:val="1134"/>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rPr>
                <w:rFonts w:ascii="Times New Roman" w:hAnsi="Times New Roman"/>
                <w:b/>
                <w:sz w:val="18"/>
                <w:szCs w:val="18"/>
                <w:lang w:val="ro-RO"/>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pStyle w:val="a3"/>
              <w:ind w:left="113" w:right="113" w:firstLine="0"/>
              <w:rPr>
                <w:b/>
                <w:sz w:val="18"/>
                <w:szCs w:val="18"/>
                <w:lang w:val="ro-RO" w:eastAsia="en-US"/>
              </w:rPr>
            </w:pPr>
            <w:r w:rsidRPr="00121F51">
              <w:rPr>
                <w:b/>
                <w:sz w:val="18"/>
                <w:szCs w:val="18"/>
                <w:lang w:val="ro-RO" w:eastAsia="en-US"/>
              </w:rPr>
              <w:t>Executat</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pStyle w:val="a3"/>
              <w:ind w:left="113" w:right="-82" w:firstLine="0"/>
              <w:rPr>
                <w:b/>
                <w:sz w:val="18"/>
                <w:szCs w:val="18"/>
                <w:lang w:val="ro-RO" w:eastAsia="en-US"/>
              </w:rPr>
            </w:pPr>
            <w:r w:rsidRPr="00121F51">
              <w:rPr>
                <w:b/>
                <w:sz w:val="18"/>
                <w:szCs w:val="18"/>
                <w:lang w:val="ro-RO" w:eastAsia="en-US"/>
              </w:rPr>
              <w:t>Ponderea</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pStyle w:val="a3"/>
              <w:ind w:left="113" w:right="113" w:firstLine="0"/>
              <w:rPr>
                <w:b/>
                <w:sz w:val="18"/>
                <w:szCs w:val="18"/>
                <w:lang w:val="ro-RO" w:eastAsia="en-US"/>
              </w:rPr>
            </w:pPr>
            <w:r w:rsidRPr="00121F51">
              <w:rPr>
                <w:b/>
                <w:sz w:val="18"/>
                <w:szCs w:val="18"/>
                <w:lang w:val="ro-RO" w:eastAsia="en-US"/>
              </w:rPr>
              <w:t>Executat</w:t>
            </w:r>
          </w:p>
        </w:tc>
        <w:tc>
          <w:tcPr>
            <w:tcW w:w="658"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pStyle w:val="a3"/>
              <w:tabs>
                <w:tab w:val="left" w:pos="455"/>
              </w:tabs>
              <w:ind w:left="113" w:right="113" w:firstLine="0"/>
              <w:rPr>
                <w:b/>
                <w:sz w:val="18"/>
                <w:szCs w:val="18"/>
                <w:lang w:val="ro-RO" w:eastAsia="en-US"/>
              </w:rPr>
            </w:pPr>
            <w:r w:rsidRPr="00121F51">
              <w:rPr>
                <w:b/>
                <w:sz w:val="18"/>
                <w:szCs w:val="18"/>
                <w:lang w:val="ro-RO" w:eastAsia="en-US"/>
              </w:rPr>
              <w:t>Ponderea</w:t>
            </w:r>
          </w:p>
        </w:tc>
        <w:tc>
          <w:tcPr>
            <w:tcW w:w="906"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pStyle w:val="a3"/>
              <w:ind w:left="113" w:right="113" w:firstLine="0"/>
              <w:rPr>
                <w:b/>
                <w:sz w:val="18"/>
                <w:szCs w:val="18"/>
                <w:lang w:val="ro-RO" w:eastAsia="en-US"/>
              </w:rPr>
            </w:pPr>
            <w:r w:rsidRPr="00121F51">
              <w:rPr>
                <w:b/>
                <w:sz w:val="18"/>
                <w:szCs w:val="18"/>
                <w:lang w:val="ro-RO" w:eastAsia="en-US"/>
              </w:rPr>
              <w:t>Executat</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pStyle w:val="a3"/>
              <w:tabs>
                <w:tab w:val="left" w:pos="455"/>
              </w:tabs>
              <w:ind w:left="113" w:right="113" w:firstLine="0"/>
              <w:rPr>
                <w:b/>
                <w:sz w:val="18"/>
                <w:szCs w:val="18"/>
                <w:lang w:val="ro-RO" w:eastAsia="en-US"/>
              </w:rPr>
            </w:pPr>
            <w:r w:rsidRPr="00121F51">
              <w:rPr>
                <w:b/>
                <w:sz w:val="18"/>
                <w:szCs w:val="18"/>
                <w:lang w:val="ro-RO" w:eastAsia="en-US"/>
              </w:rPr>
              <w:t>Ponderea</w:t>
            </w:r>
          </w:p>
        </w:tc>
        <w:tc>
          <w:tcPr>
            <w:tcW w:w="792"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pStyle w:val="a3"/>
              <w:ind w:left="113" w:right="113" w:firstLine="0"/>
              <w:rPr>
                <w:b/>
                <w:sz w:val="18"/>
                <w:szCs w:val="18"/>
                <w:lang w:val="ro-RO" w:eastAsia="en-US"/>
              </w:rPr>
            </w:pPr>
            <w:r w:rsidRPr="00121F51">
              <w:rPr>
                <w:b/>
                <w:sz w:val="18"/>
                <w:szCs w:val="18"/>
                <w:lang w:val="ro-RO" w:eastAsia="en-US"/>
              </w:rPr>
              <w:t>Executat</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pStyle w:val="a3"/>
              <w:tabs>
                <w:tab w:val="left" w:pos="456"/>
              </w:tabs>
              <w:ind w:left="113" w:right="113" w:firstLine="0"/>
              <w:rPr>
                <w:b/>
                <w:sz w:val="18"/>
                <w:szCs w:val="18"/>
                <w:lang w:val="ro-RO" w:eastAsia="en-US"/>
              </w:rPr>
            </w:pPr>
            <w:r w:rsidRPr="00121F51">
              <w:rPr>
                <w:b/>
                <w:sz w:val="18"/>
                <w:szCs w:val="18"/>
                <w:lang w:val="ro-RO" w:eastAsia="en-US"/>
              </w:rPr>
              <w:t>Ponderea</w:t>
            </w:r>
          </w:p>
        </w:tc>
        <w:tc>
          <w:tcPr>
            <w:tcW w:w="81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pStyle w:val="a3"/>
              <w:ind w:left="113" w:right="113" w:firstLine="0"/>
              <w:rPr>
                <w:b/>
                <w:sz w:val="18"/>
                <w:szCs w:val="18"/>
                <w:lang w:val="ro-RO" w:eastAsia="en-US"/>
              </w:rPr>
            </w:pPr>
            <w:r w:rsidRPr="00121F51">
              <w:rPr>
                <w:b/>
                <w:sz w:val="18"/>
                <w:szCs w:val="18"/>
                <w:lang w:val="ro-RO" w:eastAsia="en-US"/>
              </w:rPr>
              <w:t>Executat</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pStyle w:val="a3"/>
              <w:tabs>
                <w:tab w:val="left" w:pos="455"/>
              </w:tabs>
              <w:ind w:left="113" w:right="-3" w:firstLine="0"/>
              <w:rPr>
                <w:b/>
                <w:sz w:val="18"/>
                <w:szCs w:val="18"/>
                <w:lang w:val="ro-RO" w:eastAsia="en-US"/>
              </w:rPr>
            </w:pPr>
            <w:r w:rsidRPr="00121F51">
              <w:rPr>
                <w:b/>
                <w:sz w:val="18"/>
                <w:szCs w:val="18"/>
                <w:lang w:val="ro-RO" w:eastAsia="en-US"/>
              </w:rPr>
              <w:t>Ponderea</w:t>
            </w:r>
          </w:p>
        </w:tc>
      </w:tr>
      <w:tr w:rsidR="00F24302" w:rsidRPr="00121F51" w:rsidTr="006B6AE0">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ind w:firstLine="0"/>
              <w:jc w:val="left"/>
              <w:rPr>
                <w:sz w:val="18"/>
                <w:szCs w:val="18"/>
                <w:lang w:val="ro-RO" w:eastAsia="en-US"/>
              </w:rPr>
            </w:pPr>
            <w:r w:rsidRPr="00121F51">
              <w:rPr>
                <w:sz w:val="18"/>
                <w:szCs w:val="18"/>
                <w:lang w:val="ro-RO" w:eastAsia="en-US"/>
              </w:rPr>
              <w:t>Venituri proprii</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sz w:val="18"/>
                <w:szCs w:val="18"/>
                <w:lang w:val="ro-RO"/>
              </w:rPr>
            </w:pPr>
            <w:r w:rsidRPr="00121F51">
              <w:rPr>
                <w:rFonts w:ascii="Times New Roman" w:hAnsi="Times New Roman"/>
                <w:sz w:val="18"/>
                <w:szCs w:val="18"/>
                <w:lang w:val="ro-RO"/>
              </w:rPr>
              <w:t>12094,1</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sz w:val="18"/>
                <w:szCs w:val="18"/>
                <w:lang w:val="ro-RO"/>
              </w:rPr>
            </w:pPr>
            <w:r w:rsidRPr="00121F51">
              <w:rPr>
                <w:rFonts w:ascii="Times New Roman" w:hAnsi="Times New Roman"/>
                <w:sz w:val="18"/>
                <w:szCs w:val="18"/>
                <w:lang w:val="ro-RO"/>
              </w:rPr>
              <w:t>6,4</w:t>
            </w:r>
          </w:p>
        </w:tc>
        <w:tc>
          <w:tcPr>
            <w:tcW w:w="879"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79"/>
              <w:jc w:val="center"/>
              <w:rPr>
                <w:rFonts w:ascii="Times New Roman" w:hAnsi="Times New Roman"/>
                <w:sz w:val="18"/>
                <w:szCs w:val="18"/>
                <w:lang w:val="ro-RO"/>
              </w:rPr>
            </w:pPr>
            <w:r w:rsidRPr="00121F51">
              <w:rPr>
                <w:rFonts w:ascii="Times New Roman" w:hAnsi="Times New Roman"/>
                <w:sz w:val="18"/>
                <w:szCs w:val="18"/>
                <w:lang w:val="ro-RO"/>
              </w:rPr>
              <w:t>13012,2</w:t>
            </w:r>
          </w:p>
        </w:tc>
        <w:tc>
          <w:tcPr>
            <w:tcW w:w="65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8"/>
              <w:jc w:val="center"/>
              <w:rPr>
                <w:rFonts w:ascii="Times New Roman" w:hAnsi="Times New Roman"/>
                <w:sz w:val="18"/>
                <w:szCs w:val="18"/>
                <w:lang w:val="ro-RO"/>
              </w:rPr>
            </w:pPr>
            <w:r w:rsidRPr="00121F51">
              <w:rPr>
                <w:rFonts w:ascii="Times New Roman" w:hAnsi="Times New Roman"/>
                <w:sz w:val="18"/>
                <w:szCs w:val="18"/>
                <w:lang w:val="ro-RO"/>
              </w:rPr>
              <w:t>6,3</w:t>
            </w:r>
          </w:p>
        </w:tc>
        <w:tc>
          <w:tcPr>
            <w:tcW w:w="90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96"/>
              <w:jc w:val="center"/>
              <w:rPr>
                <w:rFonts w:ascii="Times New Roman" w:hAnsi="Times New Roman"/>
                <w:sz w:val="18"/>
                <w:szCs w:val="18"/>
                <w:lang w:val="ro-RO"/>
              </w:rPr>
            </w:pPr>
            <w:r w:rsidRPr="00121F51">
              <w:rPr>
                <w:rFonts w:ascii="Times New Roman" w:hAnsi="Times New Roman"/>
                <w:sz w:val="18"/>
                <w:szCs w:val="18"/>
                <w:lang w:val="ro-RO"/>
              </w:rPr>
              <w:t>13775,5</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6"/>
              <w:jc w:val="center"/>
              <w:rPr>
                <w:rFonts w:ascii="Times New Roman" w:hAnsi="Times New Roman"/>
                <w:sz w:val="18"/>
                <w:szCs w:val="18"/>
                <w:lang w:val="ro-RO"/>
              </w:rPr>
            </w:pPr>
            <w:r w:rsidRPr="00121F51">
              <w:rPr>
                <w:rFonts w:ascii="Times New Roman" w:hAnsi="Times New Roman"/>
                <w:sz w:val="18"/>
                <w:szCs w:val="18"/>
                <w:lang w:val="ro-RO"/>
              </w:rPr>
              <w:t>5,9</w:t>
            </w:r>
          </w:p>
        </w:tc>
        <w:tc>
          <w:tcPr>
            <w:tcW w:w="79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61"/>
              <w:jc w:val="center"/>
              <w:rPr>
                <w:rFonts w:ascii="Times New Roman" w:hAnsi="Times New Roman"/>
                <w:sz w:val="18"/>
                <w:szCs w:val="18"/>
                <w:lang w:val="ro-RO"/>
              </w:rPr>
            </w:pPr>
            <w:r w:rsidRPr="00121F51">
              <w:rPr>
                <w:rFonts w:ascii="Times New Roman" w:hAnsi="Times New Roman"/>
                <w:sz w:val="18"/>
                <w:szCs w:val="18"/>
                <w:lang w:val="ro-RO"/>
              </w:rPr>
              <w:t>14338,9</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sz w:val="18"/>
                <w:szCs w:val="18"/>
                <w:lang w:val="ro-RO"/>
              </w:rPr>
            </w:pPr>
            <w:r w:rsidRPr="00121F51">
              <w:rPr>
                <w:rFonts w:ascii="Times New Roman" w:hAnsi="Times New Roman"/>
                <w:sz w:val="18"/>
                <w:szCs w:val="18"/>
                <w:lang w:val="ro-RO"/>
              </w:rPr>
              <w:t>5,2</w:t>
            </w:r>
          </w:p>
        </w:tc>
        <w:tc>
          <w:tcPr>
            <w:tcW w:w="819" w:type="dxa"/>
            <w:gridSpan w:val="2"/>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36"/>
              <w:jc w:val="center"/>
              <w:rPr>
                <w:rFonts w:ascii="Times New Roman" w:hAnsi="Times New Roman"/>
                <w:sz w:val="18"/>
                <w:szCs w:val="18"/>
                <w:lang w:val="ro-RO"/>
              </w:rPr>
            </w:pPr>
            <w:r w:rsidRPr="00121F51">
              <w:rPr>
                <w:rFonts w:ascii="Times New Roman" w:hAnsi="Times New Roman"/>
                <w:sz w:val="18"/>
                <w:szCs w:val="18"/>
                <w:lang w:val="ro-RO"/>
              </w:rPr>
              <w:t>14401,9</w:t>
            </w:r>
          </w:p>
        </w:tc>
        <w:tc>
          <w:tcPr>
            <w:tcW w:w="51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sz w:val="18"/>
                <w:szCs w:val="18"/>
                <w:lang w:val="ro-RO"/>
              </w:rPr>
            </w:pPr>
            <w:r w:rsidRPr="00121F51">
              <w:rPr>
                <w:rFonts w:ascii="Times New Roman" w:hAnsi="Times New Roman"/>
                <w:sz w:val="18"/>
                <w:szCs w:val="18"/>
                <w:lang w:val="ro-RO"/>
              </w:rPr>
              <w:t>5,3</w:t>
            </w:r>
          </w:p>
        </w:tc>
      </w:tr>
      <w:tr w:rsidR="00F24302" w:rsidRPr="00121F51" w:rsidTr="006B6AE0">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ind w:firstLine="0"/>
              <w:jc w:val="left"/>
              <w:rPr>
                <w:sz w:val="18"/>
                <w:szCs w:val="18"/>
                <w:lang w:val="ro-RO" w:eastAsia="en-US"/>
              </w:rPr>
            </w:pPr>
            <w:r w:rsidRPr="00121F51">
              <w:rPr>
                <w:sz w:val="18"/>
                <w:szCs w:val="18"/>
                <w:lang w:val="ro-RO" w:eastAsia="en-US"/>
              </w:rPr>
              <w:t>Mijloace speciale</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sz w:val="18"/>
                <w:szCs w:val="18"/>
                <w:lang w:val="ro-RO"/>
              </w:rPr>
            </w:pPr>
            <w:r w:rsidRPr="00121F51">
              <w:rPr>
                <w:rFonts w:ascii="Times New Roman" w:hAnsi="Times New Roman"/>
                <w:sz w:val="18"/>
                <w:szCs w:val="18"/>
                <w:lang w:val="ro-RO"/>
              </w:rPr>
              <w:t>3981,7</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sz w:val="18"/>
                <w:szCs w:val="18"/>
                <w:lang w:val="ro-RO"/>
              </w:rPr>
            </w:pPr>
            <w:r w:rsidRPr="00121F51">
              <w:rPr>
                <w:rFonts w:ascii="Times New Roman" w:hAnsi="Times New Roman"/>
                <w:sz w:val="18"/>
                <w:szCs w:val="18"/>
                <w:lang w:val="ro-RO"/>
              </w:rPr>
              <w:t>2,1</w:t>
            </w:r>
          </w:p>
        </w:tc>
        <w:tc>
          <w:tcPr>
            <w:tcW w:w="879"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79"/>
              <w:jc w:val="center"/>
              <w:rPr>
                <w:rFonts w:ascii="Times New Roman" w:hAnsi="Times New Roman"/>
                <w:sz w:val="18"/>
                <w:szCs w:val="18"/>
                <w:lang w:val="ro-RO"/>
              </w:rPr>
            </w:pPr>
            <w:r w:rsidRPr="00121F51">
              <w:rPr>
                <w:rFonts w:ascii="Times New Roman" w:hAnsi="Times New Roman"/>
                <w:sz w:val="18"/>
                <w:szCs w:val="18"/>
                <w:lang w:val="ro-RO"/>
              </w:rPr>
              <w:t>5391,8</w:t>
            </w:r>
          </w:p>
        </w:tc>
        <w:tc>
          <w:tcPr>
            <w:tcW w:w="65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8"/>
              <w:jc w:val="center"/>
              <w:rPr>
                <w:rFonts w:ascii="Times New Roman" w:hAnsi="Times New Roman"/>
                <w:sz w:val="18"/>
                <w:szCs w:val="18"/>
                <w:lang w:val="ro-RO"/>
              </w:rPr>
            </w:pPr>
            <w:r w:rsidRPr="00121F51">
              <w:rPr>
                <w:rFonts w:ascii="Times New Roman" w:hAnsi="Times New Roman"/>
                <w:sz w:val="18"/>
                <w:szCs w:val="18"/>
                <w:lang w:val="ro-RO"/>
              </w:rPr>
              <w:t>2,6</w:t>
            </w:r>
          </w:p>
        </w:tc>
        <w:tc>
          <w:tcPr>
            <w:tcW w:w="90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96"/>
              <w:jc w:val="center"/>
              <w:rPr>
                <w:rFonts w:ascii="Times New Roman" w:hAnsi="Times New Roman"/>
                <w:sz w:val="18"/>
                <w:szCs w:val="18"/>
                <w:lang w:val="ro-RO"/>
              </w:rPr>
            </w:pPr>
            <w:r w:rsidRPr="00121F51">
              <w:rPr>
                <w:rFonts w:ascii="Times New Roman" w:hAnsi="Times New Roman"/>
                <w:sz w:val="18"/>
                <w:szCs w:val="18"/>
                <w:lang w:val="ro-RO"/>
              </w:rPr>
              <w:t>6584,8</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6"/>
              <w:jc w:val="center"/>
              <w:rPr>
                <w:rFonts w:ascii="Times New Roman" w:hAnsi="Times New Roman"/>
                <w:sz w:val="18"/>
                <w:szCs w:val="18"/>
                <w:lang w:val="ro-RO"/>
              </w:rPr>
            </w:pPr>
            <w:r w:rsidRPr="00121F51">
              <w:rPr>
                <w:rFonts w:ascii="Times New Roman" w:hAnsi="Times New Roman"/>
                <w:sz w:val="18"/>
                <w:szCs w:val="18"/>
                <w:lang w:val="ro-RO"/>
              </w:rPr>
              <w:t>2,8</w:t>
            </w:r>
          </w:p>
        </w:tc>
        <w:tc>
          <w:tcPr>
            <w:tcW w:w="79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61"/>
              <w:jc w:val="center"/>
              <w:rPr>
                <w:rFonts w:ascii="Times New Roman" w:hAnsi="Times New Roman"/>
                <w:sz w:val="18"/>
                <w:szCs w:val="18"/>
                <w:lang w:val="ro-RO"/>
              </w:rPr>
            </w:pPr>
            <w:r w:rsidRPr="00121F51">
              <w:rPr>
                <w:rFonts w:ascii="Times New Roman" w:hAnsi="Times New Roman"/>
                <w:sz w:val="18"/>
                <w:szCs w:val="18"/>
                <w:lang w:val="ro-RO"/>
              </w:rPr>
              <w:t>8183,6</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sz w:val="18"/>
                <w:szCs w:val="18"/>
                <w:lang w:val="ro-RO"/>
              </w:rPr>
            </w:pPr>
            <w:r w:rsidRPr="00121F51">
              <w:rPr>
                <w:rFonts w:ascii="Times New Roman" w:hAnsi="Times New Roman"/>
                <w:sz w:val="18"/>
                <w:szCs w:val="18"/>
                <w:lang w:val="ro-RO"/>
              </w:rPr>
              <w:t>2,9</w:t>
            </w:r>
          </w:p>
        </w:tc>
        <w:tc>
          <w:tcPr>
            <w:tcW w:w="819" w:type="dxa"/>
            <w:gridSpan w:val="2"/>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36"/>
              <w:jc w:val="center"/>
              <w:rPr>
                <w:rFonts w:ascii="Times New Roman" w:hAnsi="Times New Roman"/>
                <w:sz w:val="18"/>
                <w:szCs w:val="18"/>
                <w:lang w:val="ro-RO"/>
              </w:rPr>
            </w:pPr>
            <w:r w:rsidRPr="00121F51">
              <w:rPr>
                <w:rFonts w:ascii="Times New Roman" w:hAnsi="Times New Roman"/>
                <w:sz w:val="18"/>
                <w:szCs w:val="18"/>
                <w:lang w:val="ro-RO"/>
              </w:rPr>
              <w:t>7900,9</w:t>
            </w:r>
          </w:p>
        </w:tc>
        <w:tc>
          <w:tcPr>
            <w:tcW w:w="51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sz w:val="18"/>
                <w:szCs w:val="18"/>
                <w:lang w:val="ro-RO"/>
              </w:rPr>
            </w:pPr>
            <w:r w:rsidRPr="00121F51">
              <w:rPr>
                <w:rFonts w:ascii="Times New Roman" w:hAnsi="Times New Roman"/>
                <w:sz w:val="18"/>
                <w:szCs w:val="18"/>
                <w:lang w:val="ro-RO"/>
              </w:rPr>
              <w:t>2,9</w:t>
            </w:r>
          </w:p>
        </w:tc>
      </w:tr>
      <w:tr w:rsidR="00F24302" w:rsidRPr="00121F51" w:rsidTr="006B6AE0">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ind w:firstLine="0"/>
              <w:jc w:val="left"/>
              <w:rPr>
                <w:sz w:val="18"/>
                <w:szCs w:val="18"/>
                <w:lang w:val="ro-RO" w:eastAsia="en-US"/>
              </w:rPr>
            </w:pPr>
            <w:r w:rsidRPr="00121F51">
              <w:rPr>
                <w:sz w:val="18"/>
                <w:szCs w:val="18"/>
                <w:lang w:val="ro-RO" w:eastAsia="en-US"/>
              </w:rPr>
              <w:t>inclusiv granturi, dona</w:t>
            </w:r>
            <w:r w:rsidRPr="00121F51">
              <w:rPr>
                <w:rFonts w:ascii="Cambria Math" w:hAnsi="Cambria Math" w:cs="Cambria Math"/>
                <w:sz w:val="18"/>
                <w:szCs w:val="18"/>
                <w:lang w:val="ro-RO" w:eastAsia="en-US"/>
              </w:rPr>
              <w:t>ț</w:t>
            </w:r>
            <w:r w:rsidRPr="00121F51">
              <w:rPr>
                <w:sz w:val="18"/>
                <w:szCs w:val="18"/>
                <w:lang w:val="ro-RO" w:eastAsia="en-US"/>
              </w:rPr>
              <w:t>ii, sponsorizări</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sz w:val="18"/>
                <w:szCs w:val="18"/>
                <w:lang w:val="ro-RO"/>
              </w:rPr>
            </w:pPr>
            <w:r w:rsidRPr="00121F51">
              <w:rPr>
                <w:rFonts w:ascii="Times New Roman" w:hAnsi="Times New Roman"/>
                <w:sz w:val="18"/>
                <w:szCs w:val="18"/>
                <w:lang w:val="ro-RO"/>
              </w:rPr>
              <w:t>54,0</w:t>
            </w:r>
          </w:p>
        </w:tc>
        <w:tc>
          <w:tcPr>
            <w:tcW w:w="567"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11"/>
              <w:jc w:val="center"/>
              <w:rPr>
                <w:rFonts w:ascii="Times New Roman" w:hAnsi="Times New Roman"/>
                <w:b/>
                <w:bCs/>
                <w:sz w:val="18"/>
                <w:szCs w:val="18"/>
                <w:lang w:val="ro-RO"/>
              </w:rPr>
            </w:pPr>
          </w:p>
        </w:tc>
        <w:tc>
          <w:tcPr>
            <w:tcW w:w="879"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79"/>
              <w:jc w:val="center"/>
              <w:rPr>
                <w:rFonts w:ascii="Times New Roman" w:hAnsi="Times New Roman"/>
                <w:sz w:val="18"/>
                <w:szCs w:val="18"/>
                <w:lang w:val="ro-RO"/>
              </w:rPr>
            </w:pPr>
            <w:r w:rsidRPr="00121F51">
              <w:rPr>
                <w:rFonts w:ascii="Times New Roman" w:hAnsi="Times New Roman"/>
                <w:sz w:val="18"/>
                <w:szCs w:val="18"/>
                <w:lang w:val="ro-RO"/>
              </w:rPr>
              <w:t>823,2</w:t>
            </w:r>
          </w:p>
        </w:tc>
        <w:tc>
          <w:tcPr>
            <w:tcW w:w="65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8"/>
              <w:jc w:val="center"/>
              <w:rPr>
                <w:rFonts w:ascii="Times New Roman" w:hAnsi="Times New Roman"/>
                <w:bCs/>
                <w:sz w:val="18"/>
                <w:szCs w:val="18"/>
                <w:lang w:val="ro-RO"/>
              </w:rPr>
            </w:pPr>
            <w:r w:rsidRPr="00121F51">
              <w:rPr>
                <w:rFonts w:ascii="Times New Roman" w:hAnsi="Times New Roman"/>
                <w:bCs/>
                <w:sz w:val="18"/>
                <w:szCs w:val="18"/>
                <w:lang w:val="ro-RO"/>
              </w:rPr>
              <w:t>0,4</w:t>
            </w:r>
          </w:p>
        </w:tc>
        <w:tc>
          <w:tcPr>
            <w:tcW w:w="90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96"/>
              <w:jc w:val="center"/>
              <w:rPr>
                <w:rFonts w:ascii="Times New Roman" w:hAnsi="Times New Roman"/>
                <w:sz w:val="18"/>
                <w:szCs w:val="18"/>
                <w:lang w:val="ro-RO"/>
              </w:rPr>
            </w:pPr>
            <w:r w:rsidRPr="00121F51">
              <w:rPr>
                <w:rFonts w:ascii="Times New Roman" w:hAnsi="Times New Roman"/>
                <w:sz w:val="18"/>
                <w:szCs w:val="18"/>
                <w:lang w:val="ro-RO"/>
              </w:rPr>
              <w:t>993,8</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6"/>
              <w:jc w:val="center"/>
              <w:rPr>
                <w:rFonts w:ascii="Times New Roman" w:hAnsi="Times New Roman"/>
                <w:bCs/>
                <w:sz w:val="18"/>
                <w:szCs w:val="18"/>
                <w:lang w:val="ro-RO"/>
              </w:rPr>
            </w:pPr>
            <w:r w:rsidRPr="00121F51">
              <w:rPr>
                <w:rFonts w:ascii="Times New Roman" w:hAnsi="Times New Roman"/>
                <w:bCs/>
                <w:sz w:val="18"/>
                <w:szCs w:val="18"/>
                <w:lang w:val="ro-RO"/>
              </w:rPr>
              <w:t>0,4</w:t>
            </w:r>
          </w:p>
        </w:tc>
        <w:tc>
          <w:tcPr>
            <w:tcW w:w="79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61"/>
              <w:jc w:val="center"/>
              <w:rPr>
                <w:rFonts w:ascii="Times New Roman" w:hAnsi="Times New Roman"/>
                <w:sz w:val="18"/>
                <w:szCs w:val="18"/>
                <w:lang w:val="ro-RO"/>
              </w:rPr>
            </w:pPr>
            <w:r w:rsidRPr="00121F51">
              <w:rPr>
                <w:rFonts w:ascii="Times New Roman" w:hAnsi="Times New Roman"/>
                <w:sz w:val="18"/>
                <w:szCs w:val="18"/>
                <w:lang w:val="ro-RO"/>
              </w:rPr>
              <w:t>2012,9</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bCs/>
                <w:sz w:val="18"/>
                <w:szCs w:val="18"/>
                <w:lang w:val="ro-RO"/>
              </w:rPr>
            </w:pPr>
            <w:r w:rsidRPr="00121F51">
              <w:rPr>
                <w:rFonts w:ascii="Times New Roman" w:hAnsi="Times New Roman"/>
                <w:bCs/>
                <w:sz w:val="18"/>
                <w:szCs w:val="18"/>
                <w:lang w:val="ro-RO"/>
              </w:rPr>
              <w:t>0,7</w:t>
            </w:r>
          </w:p>
        </w:tc>
        <w:tc>
          <w:tcPr>
            <w:tcW w:w="819" w:type="dxa"/>
            <w:gridSpan w:val="2"/>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36"/>
              <w:jc w:val="center"/>
              <w:rPr>
                <w:rFonts w:ascii="Times New Roman" w:hAnsi="Times New Roman"/>
                <w:sz w:val="18"/>
                <w:szCs w:val="18"/>
                <w:lang w:val="ro-RO"/>
              </w:rPr>
            </w:pPr>
            <w:r w:rsidRPr="00121F51">
              <w:rPr>
                <w:rFonts w:ascii="Times New Roman" w:hAnsi="Times New Roman"/>
                <w:sz w:val="18"/>
                <w:szCs w:val="18"/>
                <w:lang w:val="ro-RO"/>
              </w:rPr>
              <w:t>927,4</w:t>
            </w:r>
          </w:p>
        </w:tc>
        <w:tc>
          <w:tcPr>
            <w:tcW w:w="51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bCs/>
                <w:sz w:val="18"/>
                <w:szCs w:val="18"/>
                <w:lang w:val="ro-RO"/>
              </w:rPr>
            </w:pPr>
            <w:r w:rsidRPr="00121F51">
              <w:rPr>
                <w:rFonts w:ascii="Times New Roman" w:hAnsi="Times New Roman"/>
                <w:bCs/>
                <w:sz w:val="18"/>
                <w:szCs w:val="18"/>
                <w:lang w:val="ro-RO"/>
              </w:rPr>
              <w:t>0,3</w:t>
            </w:r>
          </w:p>
        </w:tc>
      </w:tr>
      <w:tr w:rsidR="00F24302" w:rsidRPr="00121F51" w:rsidTr="006B6AE0">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ind w:firstLine="0"/>
              <w:jc w:val="left"/>
              <w:rPr>
                <w:b/>
                <w:sz w:val="18"/>
                <w:szCs w:val="18"/>
                <w:lang w:val="ro-RO" w:eastAsia="en-US"/>
              </w:rPr>
            </w:pPr>
            <w:r w:rsidRPr="00121F51">
              <w:rPr>
                <w:b/>
                <w:sz w:val="18"/>
                <w:szCs w:val="18"/>
                <w:lang w:val="ro-RO" w:eastAsia="en-US"/>
              </w:rPr>
              <w:t>Defalcări de la veniturile generale de stat</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b/>
                <w:sz w:val="18"/>
                <w:szCs w:val="18"/>
                <w:lang w:val="ro-RO"/>
              </w:rPr>
            </w:pPr>
            <w:r w:rsidRPr="00121F51">
              <w:rPr>
                <w:rFonts w:ascii="Times New Roman" w:hAnsi="Times New Roman"/>
                <w:b/>
                <w:sz w:val="18"/>
                <w:szCs w:val="18"/>
                <w:lang w:val="ro-RO"/>
              </w:rPr>
              <w:t>14859,4</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b/>
                <w:sz w:val="18"/>
                <w:szCs w:val="18"/>
                <w:lang w:val="ro-RO"/>
              </w:rPr>
            </w:pPr>
            <w:r w:rsidRPr="00121F51">
              <w:rPr>
                <w:rFonts w:ascii="Times New Roman" w:hAnsi="Times New Roman"/>
                <w:b/>
                <w:sz w:val="18"/>
                <w:szCs w:val="18"/>
                <w:lang w:val="ro-RO"/>
              </w:rPr>
              <w:t>7,9</w:t>
            </w:r>
          </w:p>
        </w:tc>
        <w:tc>
          <w:tcPr>
            <w:tcW w:w="879"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79"/>
              <w:jc w:val="center"/>
              <w:rPr>
                <w:rFonts w:ascii="Times New Roman" w:hAnsi="Times New Roman"/>
                <w:b/>
                <w:sz w:val="18"/>
                <w:szCs w:val="18"/>
                <w:lang w:val="ro-RO"/>
              </w:rPr>
            </w:pPr>
            <w:r w:rsidRPr="00121F51">
              <w:rPr>
                <w:rFonts w:ascii="Times New Roman" w:hAnsi="Times New Roman"/>
                <w:b/>
                <w:sz w:val="18"/>
                <w:szCs w:val="18"/>
                <w:lang w:val="ro-RO"/>
              </w:rPr>
              <w:t>25149,7</w:t>
            </w:r>
          </w:p>
        </w:tc>
        <w:tc>
          <w:tcPr>
            <w:tcW w:w="65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8"/>
              <w:jc w:val="center"/>
              <w:rPr>
                <w:rFonts w:ascii="Times New Roman" w:hAnsi="Times New Roman"/>
                <w:b/>
                <w:sz w:val="18"/>
                <w:szCs w:val="18"/>
                <w:lang w:val="ro-RO"/>
              </w:rPr>
            </w:pPr>
            <w:r w:rsidRPr="00121F51">
              <w:rPr>
                <w:rFonts w:ascii="Times New Roman" w:hAnsi="Times New Roman"/>
                <w:b/>
                <w:sz w:val="18"/>
                <w:szCs w:val="18"/>
                <w:lang w:val="ro-RO"/>
              </w:rPr>
              <w:t>12,2</w:t>
            </w:r>
          </w:p>
        </w:tc>
        <w:tc>
          <w:tcPr>
            <w:tcW w:w="90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96"/>
              <w:jc w:val="center"/>
              <w:rPr>
                <w:rFonts w:ascii="Times New Roman" w:hAnsi="Times New Roman"/>
                <w:b/>
                <w:sz w:val="18"/>
                <w:szCs w:val="18"/>
                <w:lang w:val="ro-RO"/>
              </w:rPr>
            </w:pPr>
            <w:r w:rsidRPr="00121F51">
              <w:rPr>
                <w:rFonts w:ascii="Times New Roman" w:hAnsi="Times New Roman"/>
                <w:b/>
                <w:sz w:val="18"/>
                <w:szCs w:val="18"/>
                <w:lang w:val="ro-RO"/>
              </w:rPr>
              <w:t>28987,7</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6"/>
              <w:jc w:val="center"/>
              <w:rPr>
                <w:rFonts w:ascii="Times New Roman" w:hAnsi="Times New Roman"/>
                <w:b/>
                <w:sz w:val="18"/>
                <w:szCs w:val="18"/>
                <w:lang w:val="ro-RO"/>
              </w:rPr>
            </w:pPr>
            <w:r w:rsidRPr="00121F51">
              <w:rPr>
                <w:rFonts w:ascii="Times New Roman" w:hAnsi="Times New Roman"/>
                <w:b/>
                <w:sz w:val="18"/>
                <w:szCs w:val="18"/>
                <w:lang w:val="ro-RO"/>
              </w:rPr>
              <w:t>12,3</w:t>
            </w:r>
          </w:p>
        </w:tc>
        <w:tc>
          <w:tcPr>
            <w:tcW w:w="79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61"/>
              <w:jc w:val="center"/>
              <w:rPr>
                <w:rFonts w:ascii="Times New Roman" w:hAnsi="Times New Roman"/>
                <w:b/>
                <w:sz w:val="18"/>
                <w:szCs w:val="18"/>
                <w:lang w:val="ro-RO"/>
              </w:rPr>
            </w:pPr>
            <w:r w:rsidRPr="00121F51">
              <w:rPr>
                <w:rFonts w:ascii="Times New Roman" w:hAnsi="Times New Roman"/>
                <w:b/>
                <w:sz w:val="18"/>
                <w:szCs w:val="18"/>
                <w:lang w:val="ro-RO"/>
              </w:rPr>
              <w:t>34746,6</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b/>
                <w:sz w:val="18"/>
                <w:szCs w:val="18"/>
                <w:lang w:val="ro-RO"/>
              </w:rPr>
            </w:pPr>
            <w:r w:rsidRPr="00121F51">
              <w:rPr>
                <w:rFonts w:ascii="Times New Roman" w:hAnsi="Times New Roman"/>
                <w:b/>
                <w:sz w:val="18"/>
                <w:szCs w:val="18"/>
                <w:lang w:val="ro-RO"/>
              </w:rPr>
              <w:t>12,5</w:t>
            </w:r>
          </w:p>
        </w:tc>
        <w:tc>
          <w:tcPr>
            <w:tcW w:w="819" w:type="dxa"/>
            <w:gridSpan w:val="2"/>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36"/>
              <w:jc w:val="center"/>
              <w:rPr>
                <w:rFonts w:ascii="Times New Roman" w:hAnsi="Times New Roman"/>
                <w:b/>
                <w:sz w:val="18"/>
                <w:szCs w:val="18"/>
                <w:lang w:val="ro-RO"/>
              </w:rPr>
            </w:pPr>
            <w:r w:rsidRPr="00121F51">
              <w:rPr>
                <w:rFonts w:ascii="Times New Roman" w:hAnsi="Times New Roman"/>
                <w:b/>
                <w:sz w:val="18"/>
                <w:szCs w:val="18"/>
                <w:lang w:val="ro-RO"/>
              </w:rPr>
              <w:t>16903,0</w:t>
            </w:r>
          </w:p>
        </w:tc>
        <w:tc>
          <w:tcPr>
            <w:tcW w:w="51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right="32"/>
              <w:jc w:val="center"/>
              <w:rPr>
                <w:rFonts w:ascii="Times New Roman" w:hAnsi="Times New Roman"/>
                <w:b/>
                <w:sz w:val="18"/>
                <w:szCs w:val="18"/>
                <w:lang w:val="ro-RO"/>
              </w:rPr>
            </w:pPr>
            <w:r w:rsidRPr="00121F51">
              <w:rPr>
                <w:rFonts w:ascii="Times New Roman" w:hAnsi="Times New Roman"/>
                <w:b/>
                <w:sz w:val="18"/>
                <w:szCs w:val="18"/>
                <w:lang w:val="ro-RO"/>
              </w:rPr>
              <w:t>6,2</w:t>
            </w:r>
          </w:p>
        </w:tc>
      </w:tr>
      <w:tr w:rsidR="00F24302" w:rsidRPr="00121F51" w:rsidTr="006B6AE0">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pStyle w:val="a3"/>
              <w:ind w:firstLine="0"/>
              <w:jc w:val="left"/>
              <w:rPr>
                <w:sz w:val="18"/>
                <w:szCs w:val="18"/>
                <w:lang w:val="ro-RO" w:eastAsia="en-US"/>
              </w:rPr>
            </w:pPr>
            <w:r w:rsidRPr="00121F51">
              <w:rPr>
                <w:sz w:val="18"/>
                <w:szCs w:val="18"/>
                <w:lang w:val="ro-RO" w:eastAsia="ru-RU"/>
              </w:rPr>
              <w:t>Impozitul pe venitul persoanelor fizice</w:t>
            </w:r>
          </w:p>
        </w:tc>
        <w:tc>
          <w:tcPr>
            <w:tcW w:w="851"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03" w:right="-108"/>
              <w:jc w:val="center"/>
              <w:rPr>
                <w:rFonts w:ascii="Times New Roman" w:hAnsi="Times New Roman"/>
                <w:sz w:val="18"/>
                <w:szCs w:val="18"/>
                <w:lang w:val="ro-RO"/>
              </w:rPr>
            </w:pPr>
            <w:r w:rsidRPr="00121F51">
              <w:rPr>
                <w:rFonts w:ascii="Times New Roman" w:hAnsi="Times New Roman"/>
                <w:sz w:val="18"/>
                <w:szCs w:val="18"/>
                <w:lang w:val="ro-RO"/>
              </w:rPr>
              <w:t>13921,3</w:t>
            </w:r>
          </w:p>
        </w:tc>
        <w:tc>
          <w:tcPr>
            <w:tcW w:w="567"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11" w:right="-108"/>
              <w:jc w:val="center"/>
              <w:rPr>
                <w:rFonts w:ascii="Times New Roman" w:hAnsi="Times New Roman"/>
                <w:sz w:val="18"/>
                <w:szCs w:val="18"/>
                <w:lang w:val="ro-RO"/>
              </w:rPr>
            </w:pPr>
            <w:r w:rsidRPr="00121F51">
              <w:rPr>
                <w:rFonts w:ascii="Times New Roman" w:hAnsi="Times New Roman"/>
                <w:sz w:val="18"/>
                <w:szCs w:val="18"/>
                <w:lang w:val="ro-RO"/>
              </w:rPr>
              <w:t>7,4</w:t>
            </w:r>
          </w:p>
        </w:tc>
        <w:tc>
          <w:tcPr>
            <w:tcW w:w="879"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79" w:right="-108"/>
              <w:jc w:val="center"/>
              <w:rPr>
                <w:rFonts w:ascii="Times New Roman" w:hAnsi="Times New Roman"/>
                <w:sz w:val="18"/>
                <w:szCs w:val="18"/>
                <w:lang w:val="ro-RO"/>
              </w:rPr>
            </w:pPr>
            <w:r w:rsidRPr="00121F51">
              <w:rPr>
                <w:rFonts w:ascii="Times New Roman" w:hAnsi="Times New Roman"/>
                <w:sz w:val="18"/>
                <w:szCs w:val="18"/>
                <w:lang w:val="ro-RO"/>
              </w:rPr>
              <w:t>24080,2</w:t>
            </w:r>
          </w:p>
        </w:tc>
        <w:tc>
          <w:tcPr>
            <w:tcW w:w="658"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08" w:right="-108"/>
              <w:jc w:val="center"/>
              <w:rPr>
                <w:rFonts w:ascii="Times New Roman" w:hAnsi="Times New Roman"/>
                <w:sz w:val="18"/>
                <w:szCs w:val="18"/>
                <w:lang w:val="ro-RO"/>
              </w:rPr>
            </w:pPr>
            <w:r w:rsidRPr="00121F51">
              <w:rPr>
                <w:rFonts w:ascii="Times New Roman" w:hAnsi="Times New Roman"/>
                <w:sz w:val="18"/>
                <w:szCs w:val="18"/>
                <w:lang w:val="ro-RO"/>
              </w:rPr>
              <w:t>11,7</w:t>
            </w:r>
          </w:p>
        </w:tc>
        <w:tc>
          <w:tcPr>
            <w:tcW w:w="906"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96" w:right="-108"/>
              <w:jc w:val="center"/>
              <w:rPr>
                <w:rFonts w:ascii="Times New Roman" w:hAnsi="Times New Roman"/>
                <w:sz w:val="18"/>
                <w:szCs w:val="18"/>
                <w:lang w:val="ro-RO"/>
              </w:rPr>
            </w:pPr>
            <w:r w:rsidRPr="00121F51">
              <w:rPr>
                <w:rFonts w:ascii="Times New Roman" w:hAnsi="Times New Roman"/>
                <w:sz w:val="18"/>
                <w:szCs w:val="18"/>
                <w:lang w:val="ro-RO"/>
              </w:rPr>
              <w:t>25885,4</w:t>
            </w:r>
          </w:p>
        </w:tc>
        <w:tc>
          <w:tcPr>
            <w:tcW w:w="708"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06" w:right="-108"/>
              <w:jc w:val="center"/>
              <w:rPr>
                <w:rFonts w:ascii="Times New Roman" w:hAnsi="Times New Roman"/>
                <w:sz w:val="18"/>
                <w:szCs w:val="18"/>
                <w:lang w:val="ro-RO"/>
              </w:rPr>
            </w:pPr>
            <w:r w:rsidRPr="00121F51">
              <w:rPr>
                <w:rFonts w:ascii="Times New Roman" w:hAnsi="Times New Roman"/>
                <w:sz w:val="18"/>
                <w:szCs w:val="18"/>
                <w:lang w:val="ro-RO"/>
              </w:rPr>
              <w:t>11,0</w:t>
            </w:r>
          </w:p>
        </w:tc>
        <w:tc>
          <w:tcPr>
            <w:tcW w:w="792"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61" w:right="-108"/>
              <w:jc w:val="center"/>
              <w:rPr>
                <w:rFonts w:ascii="Times New Roman" w:hAnsi="Times New Roman"/>
                <w:sz w:val="18"/>
                <w:szCs w:val="18"/>
                <w:lang w:val="ro-RO"/>
              </w:rPr>
            </w:pPr>
            <w:r w:rsidRPr="00121F51">
              <w:rPr>
                <w:rFonts w:ascii="Times New Roman" w:hAnsi="Times New Roman"/>
                <w:sz w:val="18"/>
                <w:szCs w:val="18"/>
                <w:lang w:val="ro-RO"/>
              </w:rPr>
              <w:t>31936,6</w:t>
            </w:r>
          </w:p>
        </w:tc>
        <w:tc>
          <w:tcPr>
            <w:tcW w:w="567"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03" w:right="-108"/>
              <w:jc w:val="center"/>
              <w:rPr>
                <w:rFonts w:ascii="Times New Roman" w:hAnsi="Times New Roman"/>
                <w:sz w:val="18"/>
                <w:szCs w:val="18"/>
                <w:lang w:val="ro-RO"/>
              </w:rPr>
            </w:pPr>
            <w:r w:rsidRPr="00121F51">
              <w:rPr>
                <w:rFonts w:ascii="Times New Roman" w:hAnsi="Times New Roman"/>
                <w:sz w:val="18"/>
                <w:szCs w:val="18"/>
                <w:lang w:val="ro-RO"/>
              </w:rPr>
              <w:t>11,5</w:t>
            </w:r>
          </w:p>
        </w:tc>
        <w:tc>
          <w:tcPr>
            <w:tcW w:w="819" w:type="dxa"/>
            <w:gridSpan w:val="2"/>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36" w:right="-108"/>
              <w:jc w:val="center"/>
              <w:rPr>
                <w:rFonts w:ascii="Times New Roman" w:hAnsi="Times New Roman"/>
                <w:sz w:val="18"/>
                <w:szCs w:val="18"/>
                <w:lang w:val="ro-RO"/>
              </w:rPr>
            </w:pPr>
            <w:r w:rsidRPr="00121F51">
              <w:rPr>
                <w:rFonts w:ascii="Times New Roman" w:hAnsi="Times New Roman"/>
                <w:sz w:val="18"/>
                <w:szCs w:val="18"/>
                <w:lang w:val="ro-RO"/>
              </w:rPr>
              <w:t>13039,8</w:t>
            </w:r>
          </w:p>
        </w:tc>
        <w:tc>
          <w:tcPr>
            <w:tcW w:w="516"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11" w:right="-108"/>
              <w:jc w:val="center"/>
              <w:rPr>
                <w:rFonts w:ascii="Times New Roman" w:hAnsi="Times New Roman"/>
                <w:sz w:val="18"/>
                <w:szCs w:val="18"/>
                <w:lang w:val="ro-RO"/>
              </w:rPr>
            </w:pPr>
            <w:r w:rsidRPr="00121F51">
              <w:rPr>
                <w:rFonts w:ascii="Times New Roman" w:hAnsi="Times New Roman"/>
                <w:sz w:val="18"/>
                <w:szCs w:val="18"/>
                <w:lang w:val="ro-RO"/>
              </w:rPr>
              <w:t>4,8</w:t>
            </w:r>
          </w:p>
        </w:tc>
      </w:tr>
      <w:tr w:rsidR="00F24302" w:rsidRPr="00121F51" w:rsidTr="006B6AE0">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pStyle w:val="a3"/>
              <w:ind w:firstLine="0"/>
              <w:jc w:val="left"/>
              <w:rPr>
                <w:sz w:val="18"/>
                <w:szCs w:val="18"/>
                <w:lang w:val="ro-RO" w:eastAsia="ru-RU"/>
              </w:rPr>
            </w:pPr>
            <w:r w:rsidRPr="00121F51">
              <w:rPr>
                <w:sz w:val="18"/>
                <w:szCs w:val="18"/>
                <w:lang w:val="ro-RO" w:eastAsia="ru-RU"/>
              </w:rPr>
              <w:t xml:space="preserve">Taxa pentru folosirea drumurilor de către auto înmatriculate </w:t>
            </w:r>
            <w:r>
              <w:rPr>
                <w:sz w:val="18"/>
                <w:szCs w:val="18"/>
                <w:lang w:val="ro-RO" w:eastAsia="ru-RU"/>
              </w:rPr>
              <w:t xml:space="preserve">în </w:t>
            </w:r>
            <w:r w:rsidRPr="00121F51">
              <w:rPr>
                <w:sz w:val="18"/>
                <w:szCs w:val="18"/>
                <w:lang w:val="ro-RO" w:eastAsia="ru-RU"/>
              </w:rPr>
              <w:t>RM</w:t>
            </w:r>
          </w:p>
        </w:tc>
        <w:tc>
          <w:tcPr>
            <w:tcW w:w="851"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03" w:right="-108"/>
              <w:jc w:val="center"/>
              <w:rPr>
                <w:rFonts w:ascii="Times New Roman" w:hAnsi="Times New Roman"/>
                <w:sz w:val="18"/>
                <w:szCs w:val="18"/>
                <w:lang w:val="ro-RO"/>
              </w:rPr>
            </w:pPr>
            <w:r w:rsidRPr="00121F51">
              <w:rPr>
                <w:rFonts w:ascii="Times New Roman" w:hAnsi="Times New Roman"/>
                <w:sz w:val="18"/>
                <w:szCs w:val="18"/>
                <w:lang w:val="ro-RO"/>
              </w:rPr>
              <w:t>938,1</w:t>
            </w:r>
          </w:p>
        </w:tc>
        <w:tc>
          <w:tcPr>
            <w:tcW w:w="567"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11" w:right="-108"/>
              <w:jc w:val="center"/>
              <w:rPr>
                <w:rFonts w:ascii="Times New Roman" w:hAnsi="Times New Roman"/>
                <w:sz w:val="18"/>
                <w:szCs w:val="18"/>
                <w:lang w:val="ro-RO"/>
              </w:rPr>
            </w:pPr>
            <w:r w:rsidRPr="00121F51">
              <w:rPr>
                <w:rFonts w:ascii="Times New Roman" w:hAnsi="Times New Roman"/>
                <w:sz w:val="18"/>
                <w:szCs w:val="18"/>
                <w:lang w:val="ro-RO"/>
              </w:rPr>
              <w:t>0,5</w:t>
            </w:r>
          </w:p>
        </w:tc>
        <w:tc>
          <w:tcPr>
            <w:tcW w:w="879"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79" w:right="-108"/>
              <w:jc w:val="center"/>
              <w:rPr>
                <w:rFonts w:ascii="Times New Roman" w:hAnsi="Times New Roman"/>
                <w:sz w:val="18"/>
                <w:szCs w:val="18"/>
                <w:lang w:val="ro-RO"/>
              </w:rPr>
            </w:pPr>
            <w:r w:rsidRPr="00121F51">
              <w:rPr>
                <w:rFonts w:ascii="Times New Roman" w:hAnsi="Times New Roman"/>
                <w:sz w:val="18"/>
                <w:szCs w:val="18"/>
                <w:lang w:val="ro-RO"/>
              </w:rPr>
              <w:t>1069,5</w:t>
            </w:r>
          </w:p>
        </w:tc>
        <w:tc>
          <w:tcPr>
            <w:tcW w:w="658"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08" w:right="-108"/>
              <w:jc w:val="center"/>
              <w:rPr>
                <w:rFonts w:ascii="Times New Roman" w:hAnsi="Times New Roman"/>
                <w:sz w:val="18"/>
                <w:szCs w:val="18"/>
                <w:lang w:val="ro-RO"/>
              </w:rPr>
            </w:pPr>
            <w:r w:rsidRPr="00121F51">
              <w:rPr>
                <w:rFonts w:ascii="Times New Roman" w:hAnsi="Times New Roman"/>
                <w:sz w:val="18"/>
                <w:szCs w:val="18"/>
                <w:lang w:val="ro-RO"/>
              </w:rPr>
              <w:t>0,5</w:t>
            </w:r>
          </w:p>
        </w:tc>
        <w:tc>
          <w:tcPr>
            <w:tcW w:w="906"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96" w:right="-108"/>
              <w:jc w:val="center"/>
              <w:rPr>
                <w:rFonts w:ascii="Times New Roman" w:hAnsi="Times New Roman"/>
                <w:sz w:val="18"/>
                <w:szCs w:val="18"/>
                <w:lang w:val="ro-RO"/>
              </w:rPr>
            </w:pPr>
            <w:r w:rsidRPr="00121F51">
              <w:rPr>
                <w:rFonts w:ascii="Times New Roman" w:hAnsi="Times New Roman"/>
                <w:sz w:val="18"/>
                <w:szCs w:val="18"/>
                <w:lang w:val="ro-RO"/>
              </w:rPr>
              <w:t>3102,3</w:t>
            </w:r>
          </w:p>
        </w:tc>
        <w:tc>
          <w:tcPr>
            <w:tcW w:w="708"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06" w:right="-108"/>
              <w:jc w:val="center"/>
              <w:rPr>
                <w:rFonts w:ascii="Times New Roman" w:hAnsi="Times New Roman"/>
                <w:sz w:val="18"/>
                <w:szCs w:val="18"/>
                <w:lang w:val="ro-RO"/>
              </w:rPr>
            </w:pPr>
            <w:r w:rsidRPr="00121F51">
              <w:rPr>
                <w:rFonts w:ascii="Times New Roman" w:hAnsi="Times New Roman"/>
                <w:sz w:val="18"/>
                <w:szCs w:val="18"/>
                <w:lang w:val="ro-RO"/>
              </w:rPr>
              <w:t>1,3</w:t>
            </w:r>
          </w:p>
        </w:tc>
        <w:tc>
          <w:tcPr>
            <w:tcW w:w="792"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61" w:right="-108"/>
              <w:jc w:val="center"/>
              <w:rPr>
                <w:rFonts w:ascii="Times New Roman" w:hAnsi="Times New Roman"/>
                <w:sz w:val="18"/>
                <w:szCs w:val="18"/>
                <w:lang w:val="ro-RO"/>
              </w:rPr>
            </w:pPr>
            <w:r w:rsidRPr="00121F51">
              <w:rPr>
                <w:rFonts w:ascii="Times New Roman" w:hAnsi="Times New Roman"/>
                <w:sz w:val="18"/>
                <w:szCs w:val="18"/>
                <w:lang w:val="ro-RO"/>
              </w:rPr>
              <w:t>2810,0</w:t>
            </w:r>
          </w:p>
        </w:tc>
        <w:tc>
          <w:tcPr>
            <w:tcW w:w="567"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03" w:right="-108"/>
              <w:jc w:val="center"/>
              <w:rPr>
                <w:rFonts w:ascii="Times New Roman" w:hAnsi="Times New Roman"/>
                <w:sz w:val="18"/>
                <w:szCs w:val="18"/>
                <w:lang w:val="ro-RO"/>
              </w:rPr>
            </w:pPr>
            <w:r w:rsidRPr="00121F51">
              <w:rPr>
                <w:rFonts w:ascii="Times New Roman" w:hAnsi="Times New Roman"/>
                <w:sz w:val="18"/>
                <w:szCs w:val="18"/>
                <w:lang w:val="ro-RO"/>
              </w:rPr>
              <w:t>1,0</w:t>
            </w:r>
          </w:p>
        </w:tc>
        <w:tc>
          <w:tcPr>
            <w:tcW w:w="819" w:type="dxa"/>
            <w:gridSpan w:val="2"/>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36" w:right="-108"/>
              <w:jc w:val="center"/>
              <w:rPr>
                <w:rFonts w:ascii="Times New Roman" w:hAnsi="Times New Roman"/>
                <w:sz w:val="18"/>
                <w:szCs w:val="18"/>
                <w:lang w:val="ro-RO"/>
              </w:rPr>
            </w:pPr>
            <w:r w:rsidRPr="00121F51">
              <w:rPr>
                <w:rFonts w:ascii="Times New Roman" w:hAnsi="Times New Roman"/>
                <w:sz w:val="18"/>
                <w:szCs w:val="18"/>
                <w:lang w:val="ro-RO"/>
              </w:rPr>
              <w:t>3863,2</w:t>
            </w:r>
          </w:p>
        </w:tc>
        <w:tc>
          <w:tcPr>
            <w:tcW w:w="516"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11" w:right="-108"/>
              <w:jc w:val="center"/>
              <w:rPr>
                <w:rFonts w:ascii="Times New Roman" w:hAnsi="Times New Roman"/>
                <w:sz w:val="18"/>
                <w:szCs w:val="18"/>
                <w:lang w:val="ro-RO"/>
              </w:rPr>
            </w:pPr>
            <w:r w:rsidRPr="00121F51">
              <w:rPr>
                <w:rFonts w:ascii="Times New Roman" w:hAnsi="Times New Roman"/>
                <w:sz w:val="18"/>
                <w:szCs w:val="18"/>
                <w:lang w:val="ro-RO"/>
              </w:rPr>
              <w:t>1,4</w:t>
            </w:r>
          </w:p>
        </w:tc>
      </w:tr>
      <w:tr w:rsidR="00F24302" w:rsidRPr="00121F51" w:rsidTr="006B6AE0">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ind w:firstLine="0"/>
              <w:jc w:val="left"/>
              <w:rPr>
                <w:sz w:val="18"/>
                <w:szCs w:val="18"/>
                <w:lang w:val="ro-RO" w:eastAsia="en-US"/>
              </w:rPr>
            </w:pPr>
            <w:r w:rsidRPr="00121F51">
              <w:rPr>
                <w:sz w:val="18"/>
                <w:szCs w:val="18"/>
                <w:lang w:val="ro-RO" w:eastAsia="en-US"/>
              </w:rPr>
              <w:t>Transferuri de la bugetul de stat</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sz w:val="18"/>
                <w:szCs w:val="18"/>
                <w:lang w:val="ro-RO"/>
              </w:rPr>
            </w:pPr>
            <w:r w:rsidRPr="00121F51">
              <w:rPr>
                <w:rFonts w:ascii="Times New Roman" w:hAnsi="Times New Roman"/>
                <w:sz w:val="18"/>
                <w:szCs w:val="18"/>
                <w:lang w:val="ro-RO"/>
              </w:rPr>
              <w:t>153814,3</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sz w:val="18"/>
                <w:szCs w:val="18"/>
                <w:lang w:val="ro-RO"/>
              </w:rPr>
            </w:pPr>
            <w:r w:rsidRPr="00121F51">
              <w:rPr>
                <w:rFonts w:ascii="Times New Roman" w:hAnsi="Times New Roman"/>
                <w:sz w:val="18"/>
                <w:szCs w:val="18"/>
                <w:lang w:val="ro-RO"/>
              </w:rPr>
              <w:t>81,3</w:t>
            </w:r>
          </w:p>
        </w:tc>
        <w:tc>
          <w:tcPr>
            <w:tcW w:w="879"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79"/>
              <w:jc w:val="center"/>
              <w:rPr>
                <w:rFonts w:ascii="Times New Roman" w:hAnsi="Times New Roman"/>
                <w:sz w:val="18"/>
                <w:szCs w:val="18"/>
                <w:lang w:val="ro-RO"/>
              </w:rPr>
            </w:pPr>
            <w:r w:rsidRPr="00121F51">
              <w:rPr>
                <w:rFonts w:ascii="Times New Roman" w:hAnsi="Times New Roman"/>
                <w:sz w:val="18"/>
                <w:szCs w:val="18"/>
                <w:lang w:val="ro-RO"/>
              </w:rPr>
              <w:t>152673,1</w:t>
            </w:r>
          </w:p>
        </w:tc>
        <w:tc>
          <w:tcPr>
            <w:tcW w:w="65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8"/>
              <w:jc w:val="center"/>
              <w:rPr>
                <w:rFonts w:ascii="Times New Roman" w:hAnsi="Times New Roman"/>
                <w:sz w:val="18"/>
                <w:szCs w:val="18"/>
                <w:lang w:val="ro-RO"/>
              </w:rPr>
            </w:pPr>
            <w:r w:rsidRPr="00121F51">
              <w:rPr>
                <w:rFonts w:ascii="Times New Roman" w:hAnsi="Times New Roman"/>
                <w:sz w:val="18"/>
                <w:szCs w:val="18"/>
                <w:lang w:val="ro-RO"/>
              </w:rPr>
              <w:t>74,4</w:t>
            </w:r>
          </w:p>
        </w:tc>
        <w:tc>
          <w:tcPr>
            <w:tcW w:w="90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96"/>
              <w:jc w:val="center"/>
              <w:rPr>
                <w:rFonts w:ascii="Times New Roman" w:hAnsi="Times New Roman"/>
                <w:sz w:val="18"/>
                <w:szCs w:val="18"/>
                <w:lang w:val="ro-RO"/>
              </w:rPr>
            </w:pPr>
            <w:r w:rsidRPr="00121F51">
              <w:rPr>
                <w:rFonts w:ascii="Times New Roman" w:hAnsi="Times New Roman"/>
                <w:sz w:val="18"/>
                <w:szCs w:val="18"/>
                <w:lang w:val="ro-RO"/>
              </w:rPr>
              <w:t>158493,6</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6"/>
              <w:jc w:val="center"/>
              <w:rPr>
                <w:rFonts w:ascii="Times New Roman" w:hAnsi="Times New Roman"/>
                <w:sz w:val="18"/>
                <w:szCs w:val="18"/>
                <w:lang w:val="ro-RO"/>
              </w:rPr>
            </w:pPr>
            <w:r w:rsidRPr="00121F51">
              <w:rPr>
                <w:rFonts w:ascii="Times New Roman" w:hAnsi="Times New Roman"/>
                <w:sz w:val="18"/>
                <w:szCs w:val="18"/>
                <w:lang w:val="ro-RO"/>
              </w:rPr>
              <w:t>67,4</w:t>
            </w:r>
          </w:p>
        </w:tc>
        <w:tc>
          <w:tcPr>
            <w:tcW w:w="79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61"/>
              <w:jc w:val="center"/>
              <w:rPr>
                <w:rFonts w:ascii="Times New Roman" w:hAnsi="Times New Roman"/>
                <w:sz w:val="18"/>
                <w:szCs w:val="18"/>
                <w:lang w:val="ro-RO"/>
              </w:rPr>
            </w:pPr>
            <w:r w:rsidRPr="00121F51">
              <w:rPr>
                <w:rFonts w:ascii="Times New Roman" w:hAnsi="Times New Roman"/>
                <w:sz w:val="18"/>
                <w:szCs w:val="18"/>
                <w:lang w:val="ro-RO"/>
              </w:rPr>
              <w:t>185693,6</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sz w:val="18"/>
                <w:szCs w:val="18"/>
                <w:lang w:val="ro-RO"/>
              </w:rPr>
            </w:pPr>
            <w:r w:rsidRPr="00121F51">
              <w:rPr>
                <w:rFonts w:ascii="Times New Roman" w:hAnsi="Times New Roman"/>
                <w:sz w:val="18"/>
                <w:szCs w:val="18"/>
                <w:lang w:val="ro-RO"/>
              </w:rPr>
              <w:t>66,8</w:t>
            </w:r>
          </w:p>
        </w:tc>
        <w:tc>
          <w:tcPr>
            <w:tcW w:w="819" w:type="dxa"/>
            <w:gridSpan w:val="2"/>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36"/>
              <w:jc w:val="center"/>
              <w:rPr>
                <w:rFonts w:ascii="Times New Roman" w:hAnsi="Times New Roman"/>
                <w:sz w:val="18"/>
                <w:szCs w:val="18"/>
                <w:lang w:val="ro-RO"/>
              </w:rPr>
            </w:pPr>
            <w:r w:rsidRPr="00121F51">
              <w:rPr>
                <w:rFonts w:ascii="Times New Roman" w:hAnsi="Times New Roman"/>
                <w:sz w:val="18"/>
                <w:szCs w:val="18"/>
                <w:lang w:val="ro-RO"/>
              </w:rPr>
              <w:t>194820,5</w:t>
            </w:r>
          </w:p>
        </w:tc>
        <w:tc>
          <w:tcPr>
            <w:tcW w:w="51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sz w:val="18"/>
                <w:szCs w:val="18"/>
                <w:lang w:val="ro-RO"/>
              </w:rPr>
            </w:pPr>
            <w:r w:rsidRPr="00121F51">
              <w:rPr>
                <w:rFonts w:ascii="Times New Roman" w:hAnsi="Times New Roman"/>
                <w:sz w:val="18"/>
                <w:szCs w:val="18"/>
                <w:lang w:val="ro-RO"/>
              </w:rPr>
              <w:t>71,1</w:t>
            </w:r>
          </w:p>
        </w:tc>
      </w:tr>
      <w:tr w:rsidR="00F24302" w:rsidRPr="00121F51" w:rsidTr="006B6AE0">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ind w:firstLine="0"/>
              <w:jc w:val="left"/>
              <w:rPr>
                <w:sz w:val="18"/>
                <w:szCs w:val="18"/>
                <w:lang w:val="ro-RO" w:eastAsia="en-US"/>
              </w:rPr>
            </w:pPr>
            <w:r w:rsidRPr="00121F51">
              <w:rPr>
                <w:sz w:val="18"/>
                <w:szCs w:val="18"/>
                <w:lang w:val="ro-RO" w:eastAsia="en-US"/>
              </w:rPr>
              <w:t>Fonduri speciale</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sz w:val="18"/>
                <w:szCs w:val="18"/>
                <w:lang w:val="ro-RO"/>
              </w:rPr>
            </w:pPr>
            <w:r w:rsidRPr="00121F51">
              <w:rPr>
                <w:rFonts w:ascii="Times New Roman" w:hAnsi="Times New Roman"/>
                <w:sz w:val="18"/>
                <w:szCs w:val="18"/>
                <w:lang w:val="ro-RO"/>
              </w:rPr>
              <w:t>3005,0</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sz w:val="18"/>
                <w:szCs w:val="18"/>
                <w:lang w:val="ro-RO"/>
              </w:rPr>
            </w:pPr>
            <w:r w:rsidRPr="00121F51">
              <w:rPr>
                <w:rFonts w:ascii="Times New Roman" w:hAnsi="Times New Roman"/>
                <w:sz w:val="18"/>
                <w:szCs w:val="18"/>
                <w:lang w:val="ro-RO"/>
              </w:rPr>
              <w:t>1,6</w:t>
            </w:r>
          </w:p>
        </w:tc>
        <w:tc>
          <w:tcPr>
            <w:tcW w:w="879"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79"/>
              <w:jc w:val="center"/>
              <w:rPr>
                <w:rFonts w:ascii="Times New Roman" w:hAnsi="Times New Roman"/>
                <w:sz w:val="18"/>
                <w:szCs w:val="18"/>
                <w:lang w:val="ro-RO"/>
              </w:rPr>
            </w:pPr>
            <w:r w:rsidRPr="00121F51">
              <w:rPr>
                <w:rFonts w:ascii="Times New Roman" w:hAnsi="Times New Roman"/>
                <w:sz w:val="18"/>
                <w:szCs w:val="18"/>
                <w:lang w:val="ro-RO"/>
              </w:rPr>
              <w:t>8944,5</w:t>
            </w:r>
          </w:p>
        </w:tc>
        <w:tc>
          <w:tcPr>
            <w:tcW w:w="65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8"/>
              <w:jc w:val="center"/>
              <w:rPr>
                <w:rFonts w:ascii="Times New Roman" w:hAnsi="Times New Roman"/>
                <w:sz w:val="18"/>
                <w:szCs w:val="18"/>
                <w:lang w:val="ro-RO"/>
              </w:rPr>
            </w:pPr>
            <w:r w:rsidRPr="00121F51">
              <w:rPr>
                <w:rFonts w:ascii="Times New Roman" w:hAnsi="Times New Roman"/>
                <w:sz w:val="18"/>
                <w:szCs w:val="18"/>
                <w:lang w:val="ro-RO"/>
              </w:rPr>
              <w:t>4,4</w:t>
            </w:r>
          </w:p>
        </w:tc>
        <w:tc>
          <w:tcPr>
            <w:tcW w:w="90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96"/>
              <w:jc w:val="center"/>
              <w:rPr>
                <w:rFonts w:ascii="Times New Roman" w:hAnsi="Times New Roman"/>
                <w:sz w:val="18"/>
                <w:szCs w:val="18"/>
                <w:lang w:val="ro-RO"/>
              </w:rPr>
            </w:pPr>
            <w:r w:rsidRPr="00121F51">
              <w:rPr>
                <w:rFonts w:ascii="Times New Roman" w:hAnsi="Times New Roman"/>
                <w:sz w:val="18"/>
                <w:szCs w:val="18"/>
                <w:lang w:val="ro-RO"/>
              </w:rPr>
              <w:t>6604,9</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6"/>
              <w:jc w:val="center"/>
              <w:rPr>
                <w:rFonts w:ascii="Times New Roman" w:hAnsi="Times New Roman"/>
                <w:sz w:val="18"/>
                <w:szCs w:val="18"/>
                <w:lang w:val="ro-RO"/>
              </w:rPr>
            </w:pPr>
            <w:r w:rsidRPr="00121F51">
              <w:rPr>
                <w:rFonts w:ascii="Times New Roman" w:hAnsi="Times New Roman"/>
                <w:sz w:val="18"/>
                <w:szCs w:val="18"/>
                <w:lang w:val="ro-RO"/>
              </w:rPr>
              <w:t>2,8</w:t>
            </w:r>
          </w:p>
        </w:tc>
        <w:tc>
          <w:tcPr>
            <w:tcW w:w="79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61"/>
              <w:jc w:val="center"/>
              <w:rPr>
                <w:rFonts w:ascii="Times New Roman" w:hAnsi="Times New Roman"/>
                <w:sz w:val="18"/>
                <w:szCs w:val="18"/>
                <w:lang w:val="ro-RO"/>
              </w:rPr>
            </w:pPr>
            <w:r w:rsidRPr="00121F51">
              <w:rPr>
                <w:rFonts w:ascii="Times New Roman" w:hAnsi="Times New Roman"/>
                <w:sz w:val="18"/>
                <w:szCs w:val="18"/>
                <w:lang w:val="ro-RO"/>
              </w:rPr>
              <w:t>35204,6</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sz w:val="18"/>
                <w:szCs w:val="18"/>
                <w:lang w:val="ro-RO"/>
              </w:rPr>
            </w:pPr>
            <w:r w:rsidRPr="00121F51">
              <w:rPr>
                <w:rFonts w:ascii="Times New Roman" w:hAnsi="Times New Roman"/>
                <w:sz w:val="18"/>
                <w:szCs w:val="18"/>
                <w:lang w:val="ro-RO"/>
              </w:rPr>
              <w:t>12,7</w:t>
            </w:r>
          </w:p>
        </w:tc>
        <w:tc>
          <w:tcPr>
            <w:tcW w:w="819" w:type="dxa"/>
            <w:gridSpan w:val="2"/>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36"/>
              <w:jc w:val="center"/>
              <w:rPr>
                <w:rFonts w:ascii="Times New Roman" w:hAnsi="Times New Roman"/>
                <w:sz w:val="18"/>
                <w:szCs w:val="18"/>
                <w:lang w:val="ro-RO"/>
              </w:rPr>
            </w:pPr>
            <w:r w:rsidRPr="00121F51">
              <w:rPr>
                <w:rFonts w:ascii="Times New Roman" w:hAnsi="Times New Roman"/>
                <w:sz w:val="18"/>
                <w:szCs w:val="18"/>
                <w:lang w:val="ro-RO"/>
              </w:rPr>
              <w:t>23297,8</w:t>
            </w:r>
          </w:p>
        </w:tc>
        <w:tc>
          <w:tcPr>
            <w:tcW w:w="51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sz w:val="18"/>
                <w:szCs w:val="18"/>
                <w:lang w:val="ro-RO"/>
              </w:rPr>
            </w:pPr>
            <w:r w:rsidRPr="00121F51">
              <w:rPr>
                <w:rFonts w:ascii="Times New Roman" w:hAnsi="Times New Roman"/>
                <w:sz w:val="18"/>
                <w:szCs w:val="18"/>
                <w:lang w:val="ro-RO"/>
              </w:rPr>
              <w:t>8,5</w:t>
            </w:r>
          </w:p>
        </w:tc>
      </w:tr>
      <w:tr w:rsidR="00F24302" w:rsidRPr="00121F51" w:rsidTr="006B6AE0">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pStyle w:val="a3"/>
              <w:ind w:firstLine="0"/>
              <w:jc w:val="left"/>
              <w:rPr>
                <w:sz w:val="18"/>
                <w:szCs w:val="18"/>
                <w:lang w:val="ro-RO" w:eastAsia="en-US"/>
              </w:rPr>
            </w:pPr>
            <w:r w:rsidRPr="00121F51">
              <w:rPr>
                <w:sz w:val="18"/>
                <w:szCs w:val="18"/>
                <w:lang w:val="ro-RO" w:eastAsia="en-US"/>
              </w:rPr>
              <w:t>Proiecte investi</w:t>
            </w:r>
            <w:r w:rsidRPr="00121F51">
              <w:rPr>
                <w:rFonts w:ascii="Cambria Math" w:hAnsi="Cambria Math" w:cs="Cambria Math"/>
                <w:sz w:val="18"/>
                <w:szCs w:val="18"/>
                <w:lang w:val="ro-RO" w:eastAsia="en-US"/>
              </w:rPr>
              <w:t>ț</w:t>
            </w:r>
            <w:r w:rsidRPr="00121F51">
              <w:rPr>
                <w:sz w:val="18"/>
                <w:szCs w:val="18"/>
                <w:lang w:val="ro-RO" w:eastAsia="en-US"/>
              </w:rPr>
              <w:t>ionale</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sz w:val="18"/>
                <w:szCs w:val="18"/>
                <w:lang w:val="ro-RO"/>
              </w:rPr>
            </w:pPr>
            <w:r w:rsidRPr="00121F51">
              <w:rPr>
                <w:rFonts w:ascii="Times New Roman" w:hAnsi="Times New Roman"/>
                <w:sz w:val="18"/>
                <w:szCs w:val="18"/>
                <w:lang w:val="ro-RO"/>
              </w:rPr>
              <w:t>1271,2</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sz w:val="18"/>
                <w:szCs w:val="18"/>
                <w:lang w:val="ro-RO"/>
              </w:rPr>
            </w:pPr>
            <w:r w:rsidRPr="00121F51">
              <w:rPr>
                <w:rFonts w:ascii="Times New Roman" w:hAnsi="Times New Roman"/>
                <w:sz w:val="18"/>
                <w:szCs w:val="18"/>
                <w:lang w:val="ro-RO"/>
              </w:rPr>
              <w:t>0,7</w:t>
            </w:r>
          </w:p>
        </w:tc>
        <w:tc>
          <w:tcPr>
            <w:tcW w:w="879"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79"/>
              <w:jc w:val="center"/>
              <w:rPr>
                <w:rFonts w:ascii="Times New Roman" w:hAnsi="Times New Roman"/>
                <w:sz w:val="18"/>
                <w:szCs w:val="18"/>
                <w:lang w:val="ro-RO"/>
              </w:rPr>
            </w:pPr>
            <w:r w:rsidRPr="00121F51">
              <w:rPr>
                <w:rFonts w:ascii="Times New Roman" w:hAnsi="Times New Roman"/>
                <w:sz w:val="18"/>
                <w:szCs w:val="18"/>
                <w:lang w:val="ro-RO"/>
              </w:rPr>
              <w:t>138,4</w:t>
            </w:r>
          </w:p>
        </w:tc>
        <w:tc>
          <w:tcPr>
            <w:tcW w:w="65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8"/>
              <w:jc w:val="center"/>
              <w:rPr>
                <w:rFonts w:ascii="Times New Roman" w:hAnsi="Times New Roman"/>
                <w:sz w:val="18"/>
                <w:szCs w:val="18"/>
                <w:lang w:val="ro-RO"/>
              </w:rPr>
            </w:pPr>
            <w:r w:rsidRPr="00121F51">
              <w:rPr>
                <w:rFonts w:ascii="Times New Roman" w:hAnsi="Times New Roman"/>
                <w:sz w:val="18"/>
                <w:szCs w:val="18"/>
                <w:lang w:val="ro-RO"/>
              </w:rPr>
              <w:t>0,1</w:t>
            </w:r>
          </w:p>
        </w:tc>
        <w:tc>
          <w:tcPr>
            <w:tcW w:w="90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96"/>
              <w:jc w:val="center"/>
              <w:rPr>
                <w:rFonts w:ascii="Times New Roman" w:hAnsi="Times New Roman"/>
                <w:sz w:val="18"/>
                <w:szCs w:val="18"/>
                <w:lang w:val="ro-RO"/>
              </w:rPr>
            </w:pPr>
            <w:r w:rsidRPr="00121F51">
              <w:rPr>
                <w:rFonts w:ascii="Times New Roman" w:hAnsi="Times New Roman"/>
                <w:sz w:val="18"/>
                <w:szCs w:val="18"/>
                <w:lang w:val="ro-RO"/>
              </w:rPr>
              <w:t>20561,8</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6"/>
              <w:jc w:val="center"/>
              <w:rPr>
                <w:rFonts w:ascii="Times New Roman" w:hAnsi="Times New Roman"/>
                <w:sz w:val="18"/>
                <w:szCs w:val="18"/>
                <w:lang w:val="ro-RO"/>
              </w:rPr>
            </w:pPr>
            <w:r w:rsidRPr="00121F51">
              <w:rPr>
                <w:rFonts w:ascii="Times New Roman" w:hAnsi="Times New Roman"/>
                <w:sz w:val="18"/>
                <w:szCs w:val="18"/>
                <w:lang w:val="ro-RO"/>
              </w:rPr>
              <w:t>8,7</w:t>
            </w:r>
          </w:p>
        </w:tc>
        <w:tc>
          <w:tcPr>
            <w:tcW w:w="792"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61"/>
              <w:jc w:val="center"/>
              <w:rPr>
                <w:rFonts w:ascii="Times New Roman" w:hAnsi="Times New Roman"/>
                <w:sz w:val="18"/>
                <w:szCs w:val="18"/>
                <w:lang w:val="ro-RO"/>
              </w:rPr>
            </w:pPr>
          </w:p>
        </w:tc>
        <w:tc>
          <w:tcPr>
            <w:tcW w:w="567"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ind w:left="-103"/>
              <w:jc w:val="center"/>
              <w:rPr>
                <w:rFonts w:ascii="Times New Roman" w:hAnsi="Times New Roman"/>
                <w:sz w:val="18"/>
                <w:szCs w:val="18"/>
                <w:lang w:val="ro-RO"/>
              </w:rPr>
            </w:pPr>
          </w:p>
        </w:tc>
        <w:tc>
          <w:tcPr>
            <w:tcW w:w="819" w:type="dxa"/>
            <w:gridSpan w:val="2"/>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36"/>
              <w:jc w:val="center"/>
              <w:rPr>
                <w:rFonts w:ascii="Times New Roman" w:hAnsi="Times New Roman"/>
                <w:sz w:val="18"/>
                <w:szCs w:val="18"/>
                <w:lang w:val="ro-RO"/>
              </w:rPr>
            </w:pPr>
            <w:r w:rsidRPr="00121F51">
              <w:rPr>
                <w:rFonts w:ascii="Times New Roman" w:hAnsi="Times New Roman"/>
                <w:sz w:val="18"/>
                <w:szCs w:val="18"/>
                <w:lang w:val="ro-RO"/>
              </w:rPr>
              <w:t>16564,5</w:t>
            </w:r>
          </w:p>
        </w:tc>
        <w:tc>
          <w:tcPr>
            <w:tcW w:w="51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sz w:val="18"/>
                <w:szCs w:val="18"/>
                <w:lang w:val="ro-RO"/>
              </w:rPr>
            </w:pPr>
            <w:r w:rsidRPr="00121F51">
              <w:rPr>
                <w:rFonts w:ascii="Times New Roman" w:hAnsi="Times New Roman"/>
                <w:sz w:val="18"/>
                <w:szCs w:val="18"/>
                <w:lang w:val="ro-RO"/>
              </w:rPr>
              <w:t>6,0</w:t>
            </w:r>
          </w:p>
        </w:tc>
      </w:tr>
      <w:tr w:rsidR="00F24302" w:rsidRPr="00121F51" w:rsidTr="006B6AE0">
        <w:trPr>
          <w:trHeight w:val="291"/>
          <w:jc w:val="center"/>
        </w:trPr>
        <w:tc>
          <w:tcPr>
            <w:tcW w:w="240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pStyle w:val="a3"/>
              <w:jc w:val="left"/>
              <w:rPr>
                <w:b/>
                <w:sz w:val="18"/>
                <w:szCs w:val="18"/>
                <w:lang w:val="ro-RO" w:eastAsia="en-US"/>
              </w:rPr>
            </w:pPr>
            <w:r w:rsidRPr="00121F51">
              <w:rPr>
                <w:b/>
                <w:sz w:val="18"/>
                <w:szCs w:val="18"/>
                <w:lang w:val="ro-RO" w:eastAsia="en-US"/>
              </w:rPr>
              <w:t>Total, venituri</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hanging="108"/>
              <w:jc w:val="center"/>
              <w:rPr>
                <w:rFonts w:ascii="Times New Roman" w:hAnsi="Times New Roman"/>
                <w:b/>
                <w:bCs/>
                <w:sz w:val="18"/>
                <w:szCs w:val="18"/>
                <w:lang w:val="ro-RO"/>
              </w:rPr>
            </w:pPr>
            <w:r w:rsidRPr="00121F51">
              <w:rPr>
                <w:rFonts w:ascii="Times New Roman" w:hAnsi="Times New Roman"/>
                <w:b/>
                <w:bCs/>
                <w:sz w:val="18"/>
                <w:szCs w:val="18"/>
                <w:lang w:val="ro-RO"/>
              </w:rPr>
              <w:t>189025,7</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b/>
                <w:sz w:val="18"/>
                <w:szCs w:val="18"/>
                <w:lang w:val="ro-RO"/>
              </w:rPr>
            </w:pPr>
            <w:r w:rsidRPr="00121F51">
              <w:rPr>
                <w:rFonts w:ascii="Times New Roman" w:hAnsi="Times New Roman"/>
                <w:b/>
                <w:sz w:val="18"/>
                <w:szCs w:val="18"/>
                <w:lang w:val="ro-RO"/>
              </w:rPr>
              <w:t>100</w:t>
            </w:r>
          </w:p>
        </w:tc>
        <w:tc>
          <w:tcPr>
            <w:tcW w:w="879"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79" w:hanging="109"/>
              <w:jc w:val="center"/>
              <w:rPr>
                <w:rFonts w:ascii="Times New Roman" w:hAnsi="Times New Roman"/>
                <w:b/>
                <w:bCs/>
                <w:sz w:val="18"/>
                <w:szCs w:val="18"/>
                <w:lang w:val="ro-RO"/>
              </w:rPr>
            </w:pPr>
            <w:r w:rsidRPr="00121F51">
              <w:rPr>
                <w:rFonts w:ascii="Times New Roman" w:hAnsi="Times New Roman"/>
                <w:b/>
                <w:bCs/>
                <w:sz w:val="18"/>
                <w:szCs w:val="18"/>
                <w:lang w:val="ro-RO"/>
              </w:rPr>
              <w:t>205309,7</w:t>
            </w:r>
          </w:p>
        </w:tc>
        <w:tc>
          <w:tcPr>
            <w:tcW w:w="65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8"/>
              <w:jc w:val="center"/>
              <w:rPr>
                <w:rFonts w:ascii="Times New Roman" w:hAnsi="Times New Roman"/>
                <w:b/>
                <w:sz w:val="18"/>
                <w:szCs w:val="18"/>
                <w:lang w:val="ro-RO"/>
              </w:rPr>
            </w:pPr>
            <w:r w:rsidRPr="00121F51">
              <w:rPr>
                <w:rFonts w:ascii="Times New Roman" w:hAnsi="Times New Roman"/>
                <w:b/>
                <w:sz w:val="18"/>
                <w:szCs w:val="18"/>
                <w:lang w:val="ro-RO"/>
              </w:rPr>
              <w:t>100</w:t>
            </w:r>
          </w:p>
        </w:tc>
        <w:tc>
          <w:tcPr>
            <w:tcW w:w="90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96"/>
              <w:jc w:val="center"/>
              <w:rPr>
                <w:rFonts w:ascii="Times New Roman" w:hAnsi="Times New Roman"/>
                <w:b/>
                <w:bCs/>
                <w:sz w:val="18"/>
                <w:szCs w:val="18"/>
                <w:lang w:val="ro-RO"/>
              </w:rPr>
            </w:pPr>
            <w:r w:rsidRPr="00121F51">
              <w:rPr>
                <w:rFonts w:ascii="Times New Roman" w:hAnsi="Times New Roman"/>
                <w:b/>
                <w:bCs/>
                <w:sz w:val="18"/>
                <w:szCs w:val="18"/>
                <w:lang w:val="ro-RO"/>
              </w:rPr>
              <w:t>235008,3</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6" w:hanging="44"/>
              <w:jc w:val="center"/>
              <w:rPr>
                <w:rFonts w:ascii="Times New Roman" w:hAnsi="Times New Roman"/>
                <w:b/>
                <w:bCs/>
                <w:sz w:val="18"/>
                <w:szCs w:val="18"/>
                <w:lang w:val="ro-RO"/>
              </w:rPr>
            </w:pPr>
            <w:r w:rsidRPr="00121F51">
              <w:rPr>
                <w:rFonts w:ascii="Times New Roman" w:hAnsi="Times New Roman"/>
                <w:b/>
                <w:bCs/>
                <w:sz w:val="18"/>
                <w:szCs w:val="18"/>
                <w:lang w:val="ro-RO"/>
              </w:rPr>
              <w:t>100</w:t>
            </w:r>
          </w:p>
        </w:tc>
        <w:tc>
          <w:tcPr>
            <w:tcW w:w="79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61"/>
              <w:jc w:val="center"/>
              <w:rPr>
                <w:rFonts w:ascii="Times New Roman" w:hAnsi="Times New Roman"/>
                <w:b/>
                <w:bCs/>
                <w:sz w:val="18"/>
                <w:szCs w:val="18"/>
                <w:lang w:val="ro-RO"/>
              </w:rPr>
            </w:pPr>
            <w:r w:rsidRPr="00121F51">
              <w:rPr>
                <w:rFonts w:ascii="Times New Roman" w:hAnsi="Times New Roman"/>
                <w:b/>
                <w:bCs/>
                <w:sz w:val="18"/>
                <w:szCs w:val="18"/>
                <w:lang w:val="ro-RO"/>
              </w:rPr>
              <w:t>278167,3</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3"/>
              <w:jc w:val="center"/>
              <w:rPr>
                <w:rFonts w:ascii="Times New Roman" w:hAnsi="Times New Roman"/>
                <w:b/>
                <w:bCs/>
                <w:sz w:val="18"/>
                <w:szCs w:val="18"/>
                <w:lang w:val="ro-RO"/>
              </w:rPr>
            </w:pPr>
            <w:r w:rsidRPr="00121F51">
              <w:rPr>
                <w:rFonts w:ascii="Times New Roman" w:hAnsi="Times New Roman"/>
                <w:b/>
                <w:bCs/>
                <w:sz w:val="18"/>
                <w:szCs w:val="18"/>
                <w:lang w:val="ro-RO"/>
              </w:rPr>
              <w:t>100</w:t>
            </w:r>
          </w:p>
        </w:tc>
        <w:tc>
          <w:tcPr>
            <w:tcW w:w="819" w:type="dxa"/>
            <w:gridSpan w:val="2"/>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36"/>
              <w:jc w:val="center"/>
              <w:rPr>
                <w:rFonts w:ascii="Times New Roman" w:hAnsi="Times New Roman"/>
                <w:b/>
                <w:bCs/>
                <w:sz w:val="18"/>
                <w:szCs w:val="18"/>
                <w:lang w:val="ro-RO"/>
              </w:rPr>
            </w:pPr>
            <w:r w:rsidRPr="00121F51">
              <w:rPr>
                <w:rFonts w:ascii="Times New Roman" w:hAnsi="Times New Roman"/>
                <w:b/>
                <w:bCs/>
                <w:sz w:val="18"/>
                <w:szCs w:val="18"/>
                <w:lang w:val="ro-RO"/>
              </w:rPr>
              <w:t>273888,6</w:t>
            </w:r>
          </w:p>
        </w:tc>
        <w:tc>
          <w:tcPr>
            <w:tcW w:w="51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11"/>
              <w:jc w:val="center"/>
              <w:rPr>
                <w:rFonts w:ascii="Times New Roman" w:hAnsi="Times New Roman"/>
                <w:b/>
                <w:bCs/>
                <w:sz w:val="18"/>
                <w:szCs w:val="18"/>
                <w:lang w:val="ro-RO"/>
              </w:rPr>
            </w:pPr>
            <w:r w:rsidRPr="00121F51">
              <w:rPr>
                <w:rFonts w:ascii="Times New Roman" w:hAnsi="Times New Roman"/>
                <w:b/>
                <w:bCs/>
                <w:sz w:val="18"/>
                <w:szCs w:val="18"/>
                <w:lang w:val="ro-RO"/>
              </w:rPr>
              <w:t>100</w:t>
            </w:r>
          </w:p>
        </w:tc>
      </w:tr>
    </w:tbl>
    <w:p w:rsidR="00F24302" w:rsidRPr="00121F51" w:rsidRDefault="00F24302" w:rsidP="00F24302">
      <w:pPr>
        <w:spacing w:after="0" w:line="240" w:lineRule="auto"/>
        <w:ind w:firstLine="567"/>
        <w:rPr>
          <w:rFonts w:ascii="Times New Roman" w:hAnsi="Times New Roman"/>
          <w:b/>
          <w:i/>
          <w:sz w:val="16"/>
          <w:szCs w:val="16"/>
          <w:lang w:val="ro-RO" w:eastAsia="ru-RU"/>
        </w:rPr>
      </w:pPr>
      <w:r w:rsidRPr="00121F51">
        <w:rPr>
          <w:rFonts w:ascii="Times New Roman" w:hAnsi="Times New Roman"/>
          <w:b/>
          <w:i/>
          <w:sz w:val="16"/>
          <w:szCs w:val="16"/>
          <w:lang w:val="ro-RO" w:eastAsia="ru-RU"/>
        </w:rPr>
        <w:t xml:space="preserve"> Contingent total înregistrat pe raionul Sîngerei </w:t>
      </w:r>
      <w:r>
        <w:rPr>
          <w:rFonts w:ascii="Times New Roman" w:hAnsi="Times New Roman"/>
          <w:b/>
          <w:i/>
          <w:sz w:val="16"/>
          <w:szCs w:val="16"/>
          <w:lang w:val="ro-RO" w:eastAsia="ru-RU"/>
        </w:rPr>
        <w:t>la</w:t>
      </w:r>
      <w:r w:rsidRPr="00121F51">
        <w:rPr>
          <w:rFonts w:ascii="Times New Roman" w:hAnsi="Times New Roman"/>
          <w:b/>
          <w:i/>
          <w:sz w:val="16"/>
          <w:szCs w:val="16"/>
          <w:lang w:val="ro-RO" w:eastAsia="ru-RU"/>
        </w:rPr>
        <w:t xml:space="preserve"> „Impozitul pe venit a persoanelor fizice” (art.111.01, 111.05, 111.09) în sumă de 27631,6 mii lei.</w:t>
      </w:r>
    </w:p>
    <w:p w:rsidR="00F24302" w:rsidRPr="00121F51" w:rsidRDefault="00F24302" w:rsidP="00F24302">
      <w:pPr>
        <w:spacing w:after="0" w:line="240" w:lineRule="auto"/>
        <w:ind w:firstLine="567"/>
        <w:rPr>
          <w:rFonts w:ascii="Times New Roman" w:hAnsi="Times New Roman"/>
          <w:i/>
          <w:sz w:val="16"/>
          <w:szCs w:val="16"/>
          <w:lang w:val="ro-RO" w:eastAsia="ru-RU"/>
        </w:rPr>
      </w:pPr>
      <w:r w:rsidRPr="00121F51">
        <w:rPr>
          <w:rFonts w:ascii="Times New Roman" w:hAnsi="Times New Roman"/>
          <w:b/>
          <w:i/>
          <w:sz w:val="16"/>
          <w:szCs w:val="16"/>
          <w:lang w:val="ro-RO" w:eastAsia="ru-RU"/>
        </w:rPr>
        <w:t>Sursă</w:t>
      </w:r>
      <w:r w:rsidRPr="00121F51">
        <w:rPr>
          <w:rFonts w:ascii="Times New Roman" w:hAnsi="Times New Roman"/>
          <w:i/>
          <w:sz w:val="16"/>
          <w:szCs w:val="16"/>
          <w:lang w:val="ro-RO" w:eastAsia="ru-RU"/>
        </w:rPr>
        <w:t>:</w:t>
      </w:r>
      <w:r w:rsidRPr="00121F51">
        <w:rPr>
          <w:rFonts w:ascii="Times New Roman" w:hAnsi="Times New Roman"/>
          <w:i/>
          <w:sz w:val="16"/>
          <w:szCs w:val="16"/>
          <w:lang w:val="ro-RO"/>
        </w:rPr>
        <w:t xml:space="preserve"> Raportul privind executarea bugetelor UAT din raionul Sîngerei pe venituri la toate componentele pe anii 2011-2015.</w:t>
      </w:r>
    </w:p>
    <w:p w:rsidR="00F24302" w:rsidRPr="00121F51" w:rsidRDefault="00F24302" w:rsidP="00F24302">
      <w:pPr>
        <w:spacing w:after="120" w:line="240" w:lineRule="auto"/>
        <w:rPr>
          <w:rFonts w:ascii="Times New Roman" w:hAnsi="Times New Roman"/>
          <w:i/>
          <w:sz w:val="20"/>
          <w:szCs w:val="20"/>
          <w:lang w:val="ro-RO"/>
        </w:rPr>
      </w:pPr>
    </w:p>
    <w:p w:rsidR="00F24302" w:rsidRPr="00121F51" w:rsidRDefault="00F24302" w:rsidP="00F24302">
      <w:pPr>
        <w:spacing w:after="120" w:line="240" w:lineRule="auto"/>
        <w:rPr>
          <w:rFonts w:ascii="Times New Roman" w:hAnsi="Times New Roman"/>
          <w:i/>
          <w:sz w:val="20"/>
          <w:szCs w:val="20"/>
          <w:lang w:val="ro-RO"/>
        </w:rPr>
      </w:pPr>
    </w:p>
    <w:p w:rsidR="00F24302" w:rsidRPr="00121F51" w:rsidRDefault="00F24302" w:rsidP="00F24302">
      <w:pPr>
        <w:spacing w:after="120" w:line="240" w:lineRule="auto"/>
        <w:rPr>
          <w:rFonts w:ascii="Times New Roman" w:hAnsi="Times New Roman"/>
          <w:i/>
          <w:sz w:val="20"/>
          <w:szCs w:val="20"/>
          <w:lang w:val="ro-RO"/>
        </w:rPr>
      </w:pPr>
    </w:p>
    <w:p w:rsidR="00F24302" w:rsidRPr="00121F51" w:rsidRDefault="00F24302" w:rsidP="00F24302">
      <w:pPr>
        <w:spacing w:after="0" w:line="240" w:lineRule="auto"/>
        <w:ind w:firstLine="567"/>
        <w:jc w:val="both"/>
        <w:rPr>
          <w:rFonts w:ascii="Times New Roman" w:hAnsi="Times New Roman"/>
          <w:sz w:val="24"/>
          <w:szCs w:val="24"/>
          <w:lang w:val="ro-RO" w:eastAsia="ru-RU"/>
        </w:rPr>
      </w:pPr>
    </w:p>
    <w:p w:rsidR="00F24302" w:rsidRPr="00121F51" w:rsidRDefault="00F24302" w:rsidP="00F24302">
      <w:pPr>
        <w:spacing w:after="0" w:line="240" w:lineRule="auto"/>
        <w:ind w:firstLine="567"/>
        <w:jc w:val="right"/>
        <w:rPr>
          <w:rFonts w:ascii="Times New Roman" w:hAnsi="Times New Roman"/>
          <w:b/>
          <w:sz w:val="20"/>
          <w:szCs w:val="20"/>
          <w:lang w:val="ro-RO" w:eastAsia="ru-RU"/>
        </w:rPr>
      </w:pPr>
      <w:r w:rsidRPr="00121F51">
        <w:rPr>
          <w:rFonts w:ascii="Times New Roman" w:hAnsi="Times New Roman"/>
          <w:b/>
          <w:sz w:val="20"/>
          <w:szCs w:val="20"/>
          <w:lang w:val="ro-RO" w:eastAsia="ru-RU"/>
        </w:rPr>
        <w:t>Tabelul nr.3</w:t>
      </w:r>
    </w:p>
    <w:p w:rsidR="00F24302" w:rsidRPr="009A7017" w:rsidRDefault="00F24302" w:rsidP="00F24302">
      <w:pPr>
        <w:spacing w:after="0" w:line="240" w:lineRule="auto"/>
        <w:ind w:firstLine="567"/>
        <w:jc w:val="center"/>
        <w:rPr>
          <w:rFonts w:ascii="Times New Roman" w:hAnsi="Times New Roman"/>
          <w:b/>
          <w:sz w:val="24"/>
          <w:szCs w:val="24"/>
          <w:lang w:val="ro-RO" w:eastAsia="ru-RU"/>
        </w:rPr>
      </w:pPr>
      <w:r w:rsidRPr="00121F51">
        <w:rPr>
          <w:rFonts w:ascii="Times New Roman" w:hAnsi="Times New Roman"/>
          <w:b/>
          <w:sz w:val="24"/>
          <w:szCs w:val="24"/>
          <w:lang w:val="ro-RO" w:eastAsia="ru-RU"/>
        </w:rPr>
        <w:t xml:space="preserve">Dinamica </w:t>
      </w:r>
      <w:r w:rsidRPr="009A7017">
        <w:rPr>
          <w:rFonts w:ascii="Times New Roman" w:hAnsi="Times New Roman"/>
          <w:b/>
          <w:sz w:val="24"/>
          <w:szCs w:val="24"/>
          <w:lang w:val="ro-RO" w:eastAsia="ru-RU"/>
        </w:rPr>
        <w:t xml:space="preserve">veniturilor </w:t>
      </w:r>
      <w:r w:rsidRPr="0098198B">
        <w:rPr>
          <w:rFonts w:ascii="Times New Roman" w:hAnsi="Times New Roman"/>
          <w:b/>
          <w:sz w:val="24"/>
          <w:szCs w:val="24"/>
          <w:lang w:val="ro-RO" w:eastAsia="ru-RU"/>
        </w:rPr>
        <w:t>ș</w:t>
      </w:r>
      <w:r w:rsidRPr="009A7017">
        <w:rPr>
          <w:rFonts w:ascii="Times New Roman" w:hAnsi="Times New Roman"/>
          <w:b/>
          <w:sz w:val="24"/>
          <w:szCs w:val="24"/>
          <w:lang w:val="ro-RO" w:eastAsia="ru-RU"/>
        </w:rPr>
        <w:t>i transferurilor, inclusiv pentru institu</w:t>
      </w:r>
      <w:r w:rsidRPr="0098198B">
        <w:rPr>
          <w:rFonts w:ascii="Times New Roman" w:hAnsi="Times New Roman"/>
          <w:b/>
          <w:sz w:val="24"/>
          <w:szCs w:val="24"/>
          <w:lang w:val="ro-RO" w:eastAsia="ru-RU"/>
        </w:rPr>
        <w:t>ț</w:t>
      </w:r>
      <w:r w:rsidRPr="009A7017">
        <w:rPr>
          <w:rFonts w:ascii="Times New Roman" w:hAnsi="Times New Roman"/>
          <w:b/>
          <w:sz w:val="24"/>
          <w:szCs w:val="24"/>
          <w:lang w:val="ro-RO" w:eastAsia="ru-RU"/>
        </w:rPr>
        <w:t>ii</w:t>
      </w:r>
      <w:r>
        <w:rPr>
          <w:rFonts w:ascii="Times New Roman" w:hAnsi="Times New Roman"/>
          <w:b/>
          <w:sz w:val="24"/>
          <w:szCs w:val="24"/>
          <w:lang w:val="ro-RO" w:eastAsia="ru-RU"/>
        </w:rPr>
        <w:t>le</w:t>
      </w:r>
      <w:r w:rsidRPr="009A7017">
        <w:rPr>
          <w:rFonts w:ascii="Times New Roman" w:hAnsi="Times New Roman"/>
          <w:b/>
          <w:sz w:val="24"/>
          <w:szCs w:val="24"/>
          <w:lang w:val="ro-RO" w:eastAsia="ru-RU"/>
        </w:rPr>
        <w:t xml:space="preserve"> de învăţămînt</w:t>
      </w:r>
    </w:p>
    <w:p w:rsidR="00F24302" w:rsidRPr="00121F51" w:rsidRDefault="00F24302" w:rsidP="00F24302">
      <w:pPr>
        <w:spacing w:after="120" w:line="240" w:lineRule="auto"/>
        <w:ind w:firstLine="567"/>
        <w:jc w:val="center"/>
        <w:rPr>
          <w:rFonts w:ascii="Times New Roman" w:hAnsi="Times New Roman"/>
          <w:b/>
          <w:sz w:val="24"/>
          <w:szCs w:val="24"/>
          <w:lang w:val="ro-RO" w:eastAsia="ru-RU"/>
        </w:rPr>
      </w:pPr>
      <w:r w:rsidRPr="0099571C">
        <w:rPr>
          <w:rFonts w:ascii="Times New Roman" w:hAnsi="Times New Roman"/>
          <w:b/>
          <w:sz w:val="24"/>
          <w:szCs w:val="24"/>
          <w:lang w:val="ro-RO" w:eastAsia="ru-RU"/>
        </w:rPr>
        <w:t xml:space="preserve">primar </w:t>
      </w:r>
      <w:r w:rsidRPr="0098198B">
        <w:rPr>
          <w:rFonts w:ascii="Times New Roman" w:hAnsi="Times New Roman"/>
          <w:b/>
          <w:sz w:val="24"/>
          <w:szCs w:val="24"/>
          <w:lang w:val="ro-RO" w:eastAsia="ru-RU"/>
        </w:rPr>
        <w:t>ș</w:t>
      </w:r>
      <w:r w:rsidRPr="009A7017">
        <w:rPr>
          <w:rFonts w:ascii="Times New Roman" w:hAnsi="Times New Roman"/>
          <w:b/>
          <w:sz w:val="24"/>
          <w:szCs w:val="24"/>
          <w:lang w:val="ro-RO" w:eastAsia="ru-RU"/>
        </w:rPr>
        <w:t>i secundar</w:t>
      </w:r>
      <w:r w:rsidRPr="00121F51">
        <w:rPr>
          <w:rFonts w:ascii="Times New Roman" w:hAnsi="Times New Roman"/>
          <w:b/>
          <w:sz w:val="24"/>
          <w:szCs w:val="24"/>
          <w:lang w:val="ro-RO" w:eastAsia="ru-RU"/>
        </w:rPr>
        <w:t xml:space="preserve"> în perioada 2011-2015</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2866"/>
        <w:gridCol w:w="851"/>
        <w:gridCol w:w="818"/>
        <w:gridCol w:w="851"/>
        <w:gridCol w:w="940"/>
        <w:gridCol w:w="940"/>
        <w:gridCol w:w="940"/>
        <w:gridCol w:w="796"/>
        <w:gridCol w:w="567"/>
      </w:tblGrid>
      <w:tr w:rsidR="00F24302" w:rsidRPr="00121F51" w:rsidTr="006B6AE0">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rPr>
                <w:rFonts w:ascii="Times New Roman" w:hAnsi="Times New Roman"/>
                <w:b/>
                <w:sz w:val="18"/>
                <w:szCs w:val="18"/>
                <w:lang w:val="ro-RO" w:eastAsia="ru-RU"/>
              </w:rPr>
            </w:pPr>
            <w:r w:rsidRPr="00121F51">
              <w:rPr>
                <w:rFonts w:ascii="Times New Roman" w:hAnsi="Times New Roman"/>
                <w:b/>
                <w:sz w:val="18"/>
                <w:szCs w:val="18"/>
                <w:lang w:val="ro-RO" w:eastAsia="ru-RU"/>
              </w:rPr>
              <w:t>Nr. d/o</w:t>
            </w:r>
          </w:p>
        </w:tc>
        <w:tc>
          <w:tcPr>
            <w:tcW w:w="2866"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rPr>
                <w:rFonts w:ascii="Times New Roman" w:hAnsi="Times New Roman"/>
                <w:b/>
                <w:sz w:val="18"/>
                <w:szCs w:val="18"/>
                <w:lang w:val="ro-RO" w:eastAsia="ru-RU"/>
              </w:rPr>
            </w:pPr>
            <w:r w:rsidRPr="00121F51">
              <w:rPr>
                <w:rFonts w:ascii="Times New Roman" w:hAnsi="Times New Roman"/>
                <w:b/>
                <w:sz w:val="18"/>
                <w:szCs w:val="18"/>
                <w:lang w:val="ro-RO" w:eastAsia="ru-RU"/>
              </w:rPr>
              <w:t xml:space="preserve">Indici </w:t>
            </w:r>
          </w:p>
        </w:tc>
        <w:tc>
          <w:tcPr>
            <w:tcW w:w="851" w:type="dxa"/>
            <w:tcBorders>
              <w:top w:val="single" w:sz="4" w:space="0" w:color="auto"/>
              <w:left w:val="single" w:sz="4" w:space="0" w:color="auto"/>
              <w:bottom w:val="single" w:sz="4" w:space="0" w:color="auto"/>
              <w:right w:val="single" w:sz="4" w:space="0" w:color="auto"/>
            </w:tcBorders>
            <w:vAlign w:val="center"/>
            <w:hideMark/>
          </w:tcPr>
          <w:p w:rsidR="00F24302" w:rsidRDefault="00F24302" w:rsidP="006B6AE0">
            <w:pPr>
              <w:spacing w:after="0" w:line="240" w:lineRule="auto"/>
              <w:ind w:left="-143" w:right="-108"/>
              <w:jc w:val="center"/>
              <w:rPr>
                <w:rFonts w:ascii="Times New Roman" w:hAnsi="Times New Roman"/>
                <w:b/>
                <w:sz w:val="18"/>
                <w:szCs w:val="18"/>
                <w:lang w:val="ro-RO" w:eastAsia="ru-RU"/>
              </w:rPr>
            </w:pPr>
            <w:r w:rsidRPr="00121F51">
              <w:rPr>
                <w:rFonts w:ascii="Times New Roman" w:hAnsi="Times New Roman"/>
                <w:b/>
                <w:sz w:val="18"/>
                <w:szCs w:val="18"/>
                <w:lang w:val="ro-RO" w:eastAsia="ru-RU"/>
              </w:rPr>
              <w:t>Unitate</w:t>
            </w:r>
            <w:r>
              <w:rPr>
                <w:rFonts w:ascii="Times New Roman" w:hAnsi="Times New Roman"/>
                <w:b/>
                <w:sz w:val="18"/>
                <w:szCs w:val="18"/>
                <w:lang w:val="ro-RO" w:eastAsia="ru-RU"/>
              </w:rPr>
              <w:t>a</w:t>
            </w:r>
          </w:p>
          <w:p w:rsidR="00F24302" w:rsidRDefault="00F24302" w:rsidP="006B6AE0">
            <w:pPr>
              <w:spacing w:after="0" w:line="240" w:lineRule="auto"/>
              <w:ind w:left="-143" w:right="-108"/>
              <w:jc w:val="center"/>
              <w:rPr>
                <w:rFonts w:ascii="Times New Roman" w:hAnsi="Times New Roman"/>
                <w:b/>
                <w:sz w:val="18"/>
                <w:szCs w:val="18"/>
                <w:lang w:val="ro-RO" w:eastAsia="ru-RU"/>
              </w:rPr>
            </w:pPr>
            <w:r w:rsidRPr="00121F51">
              <w:rPr>
                <w:rFonts w:ascii="Times New Roman" w:hAnsi="Times New Roman"/>
                <w:b/>
                <w:sz w:val="18"/>
                <w:szCs w:val="18"/>
                <w:lang w:val="ro-RO" w:eastAsia="ru-RU"/>
              </w:rPr>
              <w:t>de</w:t>
            </w:r>
          </w:p>
          <w:p w:rsidR="00F24302" w:rsidRPr="00121F51" w:rsidRDefault="00F24302" w:rsidP="006B6AE0">
            <w:pPr>
              <w:spacing w:after="0" w:line="240" w:lineRule="auto"/>
              <w:ind w:left="-143" w:right="-108"/>
              <w:jc w:val="center"/>
              <w:rPr>
                <w:rFonts w:ascii="Times New Roman" w:hAnsi="Times New Roman"/>
                <w:b/>
                <w:sz w:val="18"/>
                <w:szCs w:val="18"/>
                <w:lang w:val="ro-RO" w:eastAsia="ru-RU"/>
              </w:rPr>
            </w:pPr>
            <w:r w:rsidRPr="00121F51">
              <w:rPr>
                <w:rFonts w:ascii="Times New Roman" w:hAnsi="Times New Roman"/>
                <w:b/>
                <w:sz w:val="18"/>
                <w:szCs w:val="18"/>
                <w:lang w:val="ro-RO" w:eastAsia="ru-RU"/>
              </w:rPr>
              <w:t>măsură</w:t>
            </w:r>
          </w:p>
        </w:tc>
        <w:tc>
          <w:tcPr>
            <w:tcW w:w="818"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141"/>
              <w:jc w:val="center"/>
              <w:rPr>
                <w:rFonts w:ascii="Times New Roman" w:hAnsi="Times New Roman"/>
                <w:b/>
                <w:sz w:val="18"/>
                <w:szCs w:val="18"/>
                <w:lang w:val="ro-RO" w:eastAsia="ru-RU"/>
              </w:rPr>
            </w:pPr>
            <w:r w:rsidRPr="00121F51">
              <w:rPr>
                <w:rFonts w:ascii="Times New Roman" w:hAnsi="Times New Roman"/>
                <w:b/>
                <w:sz w:val="18"/>
                <w:szCs w:val="18"/>
                <w:lang w:val="ro-RO" w:eastAsia="ru-RU"/>
              </w:rPr>
              <w:t>2011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84"/>
              <w:jc w:val="center"/>
              <w:rPr>
                <w:rFonts w:ascii="Times New Roman" w:hAnsi="Times New Roman"/>
                <w:b/>
                <w:sz w:val="18"/>
                <w:szCs w:val="18"/>
                <w:lang w:val="ro-RO" w:eastAsia="ru-RU"/>
              </w:rPr>
            </w:pPr>
            <w:r w:rsidRPr="00121F51">
              <w:rPr>
                <w:rFonts w:ascii="Times New Roman" w:hAnsi="Times New Roman"/>
                <w:b/>
                <w:sz w:val="18"/>
                <w:szCs w:val="18"/>
                <w:lang w:val="ro-RO" w:eastAsia="ru-RU"/>
              </w:rPr>
              <w:t>2012</w:t>
            </w:r>
          </w:p>
        </w:tc>
        <w:tc>
          <w:tcPr>
            <w:tcW w:w="940"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
                <w:sz w:val="18"/>
                <w:szCs w:val="18"/>
                <w:lang w:val="ro-RO" w:eastAsia="ru-RU"/>
              </w:rPr>
            </w:pPr>
            <w:r w:rsidRPr="00121F51">
              <w:rPr>
                <w:rFonts w:ascii="Times New Roman" w:hAnsi="Times New Roman"/>
                <w:b/>
                <w:sz w:val="18"/>
                <w:szCs w:val="18"/>
                <w:lang w:val="ro-RO" w:eastAsia="ru-RU"/>
              </w:rPr>
              <w:t>2013</w:t>
            </w:r>
          </w:p>
        </w:tc>
        <w:tc>
          <w:tcPr>
            <w:tcW w:w="940"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122"/>
              <w:jc w:val="center"/>
              <w:rPr>
                <w:rFonts w:ascii="Times New Roman" w:hAnsi="Times New Roman"/>
                <w:b/>
                <w:sz w:val="18"/>
                <w:szCs w:val="18"/>
                <w:lang w:val="ro-RO" w:eastAsia="ru-RU"/>
              </w:rPr>
            </w:pPr>
            <w:r w:rsidRPr="00121F51">
              <w:rPr>
                <w:rFonts w:ascii="Times New Roman" w:hAnsi="Times New Roman"/>
                <w:b/>
                <w:sz w:val="18"/>
                <w:szCs w:val="18"/>
                <w:lang w:val="ro-RO" w:eastAsia="ru-RU"/>
              </w:rPr>
              <w:t>2014</w:t>
            </w:r>
          </w:p>
        </w:tc>
        <w:tc>
          <w:tcPr>
            <w:tcW w:w="940"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
                <w:sz w:val="18"/>
                <w:szCs w:val="18"/>
                <w:lang w:val="ro-RO" w:eastAsia="ru-RU"/>
              </w:rPr>
            </w:pPr>
            <w:r w:rsidRPr="00121F51">
              <w:rPr>
                <w:rFonts w:ascii="Times New Roman" w:hAnsi="Times New Roman"/>
                <w:b/>
                <w:sz w:val="18"/>
                <w:szCs w:val="18"/>
                <w:lang w:val="ro-RO" w:eastAsia="ru-RU"/>
              </w:rPr>
              <w:t>2015</w:t>
            </w:r>
          </w:p>
        </w:tc>
        <w:tc>
          <w:tcPr>
            <w:tcW w:w="796"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159"/>
              <w:jc w:val="center"/>
              <w:rPr>
                <w:rFonts w:ascii="Times New Roman" w:hAnsi="Times New Roman"/>
                <w:b/>
                <w:sz w:val="18"/>
                <w:szCs w:val="18"/>
                <w:lang w:val="ro-RO" w:eastAsia="ru-RU"/>
              </w:rPr>
            </w:pPr>
            <w:r w:rsidRPr="00121F51">
              <w:rPr>
                <w:rFonts w:ascii="Times New Roman" w:hAnsi="Times New Roman"/>
                <w:b/>
                <w:sz w:val="18"/>
                <w:szCs w:val="18"/>
                <w:lang w:val="ro-RO"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spacing w:after="0" w:line="240" w:lineRule="auto"/>
              <w:jc w:val="center"/>
              <w:rPr>
                <w:rFonts w:ascii="Times New Roman" w:hAnsi="Times New Roman"/>
                <w:b/>
                <w:sz w:val="18"/>
                <w:szCs w:val="18"/>
                <w:lang w:val="ro-RO" w:eastAsia="ru-RU"/>
              </w:rPr>
            </w:pPr>
          </w:p>
          <w:p w:rsidR="00F24302" w:rsidRPr="00121F51" w:rsidRDefault="00F24302" w:rsidP="006B6AE0">
            <w:pPr>
              <w:spacing w:after="0" w:line="240" w:lineRule="auto"/>
              <w:ind w:left="-113"/>
              <w:jc w:val="center"/>
              <w:rPr>
                <w:rFonts w:ascii="Times New Roman" w:hAnsi="Times New Roman"/>
                <w:b/>
                <w:sz w:val="18"/>
                <w:szCs w:val="18"/>
                <w:lang w:val="ro-RO" w:eastAsia="ru-RU"/>
              </w:rPr>
            </w:pPr>
            <w:r w:rsidRPr="00121F51">
              <w:rPr>
                <w:rFonts w:ascii="Times New Roman" w:hAnsi="Times New Roman"/>
                <w:b/>
                <w:sz w:val="18"/>
                <w:szCs w:val="18"/>
                <w:lang w:val="ro-RO" w:eastAsia="ru-RU"/>
              </w:rPr>
              <w:t>%</w:t>
            </w:r>
          </w:p>
          <w:p w:rsidR="00F24302" w:rsidRPr="00121F51" w:rsidRDefault="00F24302" w:rsidP="006B6AE0">
            <w:pPr>
              <w:spacing w:after="0" w:line="240" w:lineRule="auto"/>
              <w:ind w:left="-113"/>
              <w:jc w:val="center"/>
              <w:rPr>
                <w:rFonts w:ascii="Times New Roman" w:hAnsi="Times New Roman"/>
                <w:b/>
                <w:sz w:val="18"/>
                <w:szCs w:val="18"/>
                <w:lang w:val="ro-RO" w:eastAsia="ru-RU"/>
              </w:rPr>
            </w:pPr>
          </w:p>
        </w:tc>
      </w:tr>
      <w:tr w:rsidR="00F24302" w:rsidRPr="00121F51" w:rsidTr="006B6AE0">
        <w:trPr>
          <w:jc w:val="center"/>
        </w:trPr>
        <w:tc>
          <w:tcPr>
            <w:tcW w:w="563" w:type="dxa"/>
            <w:tcBorders>
              <w:top w:val="single" w:sz="4" w:space="0" w:color="auto"/>
              <w:left w:val="single" w:sz="4" w:space="0" w:color="auto"/>
              <w:bottom w:val="single" w:sz="4" w:space="0" w:color="auto"/>
              <w:right w:val="single" w:sz="4" w:space="0" w:color="auto"/>
            </w:tcBorders>
            <w:hideMark/>
          </w:tcPr>
          <w:p w:rsidR="00F24302" w:rsidRPr="004D4A86" w:rsidRDefault="00F24302" w:rsidP="006B6AE0">
            <w:pPr>
              <w:spacing w:after="0" w:line="240" w:lineRule="auto"/>
              <w:jc w:val="center"/>
              <w:rPr>
                <w:rFonts w:ascii="Times New Roman" w:hAnsi="Times New Roman"/>
                <w:sz w:val="12"/>
                <w:szCs w:val="12"/>
                <w:lang w:val="ro-RO" w:eastAsia="ru-RU"/>
              </w:rPr>
            </w:pPr>
            <w:r w:rsidRPr="004D4A86">
              <w:rPr>
                <w:rFonts w:ascii="Times New Roman" w:hAnsi="Times New Roman"/>
                <w:sz w:val="12"/>
                <w:szCs w:val="12"/>
                <w:lang w:val="ro-RO" w:eastAsia="ru-RU"/>
              </w:rPr>
              <w:t>1</w:t>
            </w:r>
          </w:p>
        </w:tc>
        <w:tc>
          <w:tcPr>
            <w:tcW w:w="2866" w:type="dxa"/>
            <w:tcBorders>
              <w:top w:val="single" w:sz="4" w:space="0" w:color="auto"/>
              <w:left w:val="single" w:sz="4" w:space="0" w:color="auto"/>
              <w:bottom w:val="single" w:sz="4" w:space="0" w:color="auto"/>
              <w:right w:val="single" w:sz="4" w:space="0" w:color="auto"/>
            </w:tcBorders>
            <w:hideMark/>
          </w:tcPr>
          <w:p w:rsidR="00F24302" w:rsidRPr="004D4A86" w:rsidRDefault="00F24302" w:rsidP="006B6AE0">
            <w:pPr>
              <w:spacing w:after="0" w:line="240" w:lineRule="auto"/>
              <w:jc w:val="center"/>
              <w:rPr>
                <w:rFonts w:ascii="Times New Roman" w:hAnsi="Times New Roman"/>
                <w:sz w:val="12"/>
                <w:szCs w:val="12"/>
                <w:lang w:val="ro-RO" w:eastAsia="ru-RU"/>
              </w:rPr>
            </w:pPr>
            <w:r w:rsidRPr="004D4A86">
              <w:rPr>
                <w:rFonts w:ascii="Times New Roman" w:hAnsi="Times New Roman"/>
                <w:sz w:val="12"/>
                <w:szCs w:val="12"/>
                <w:lang w:val="ro-RO"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F24302" w:rsidRPr="004D4A86" w:rsidRDefault="00F24302" w:rsidP="006B6AE0">
            <w:pPr>
              <w:spacing w:after="0" w:line="240" w:lineRule="auto"/>
              <w:jc w:val="center"/>
              <w:rPr>
                <w:rFonts w:ascii="Times New Roman" w:hAnsi="Times New Roman"/>
                <w:sz w:val="12"/>
                <w:szCs w:val="12"/>
                <w:lang w:val="ro-RO" w:eastAsia="ru-RU"/>
              </w:rPr>
            </w:pPr>
            <w:r w:rsidRPr="004D4A86">
              <w:rPr>
                <w:rFonts w:ascii="Times New Roman" w:hAnsi="Times New Roman"/>
                <w:sz w:val="12"/>
                <w:szCs w:val="12"/>
                <w:lang w:val="ro-RO" w:eastAsia="ru-RU"/>
              </w:rPr>
              <w:t>3</w:t>
            </w:r>
          </w:p>
        </w:tc>
        <w:tc>
          <w:tcPr>
            <w:tcW w:w="818" w:type="dxa"/>
            <w:tcBorders>
              <w:top w:val="single" w:sz="4" w:space="0" w:color="auto"/>
              <w:left w:val="single" w:sz="4" w:space="0" w:color="auto"/>
              <w:bottom w:val="single" w:sz="4" w:space="0" w:color="auto"/>
              <w:right w:val="single" w:sz="4" w:space="0" w:color="auto"/>
            </w:tcBorders>
            <w:hideMark/>
          </w:tcPr>
          <w:p w:rsidR="00F24302" w:rsidRPr="004D4A86" w:rsidRDefault="00F24302" w:rsidP="006B6AE0">
            <w:pPr>
              <w:spacing w:after="0" w:line="240" w:lineRule="auto"/>
              <w:jc w:val="center"/>
              <w:rPr>
                <w:rFonts w:ascii="Times New Roman" w:hAnsi="Times New Roman"/>
                <w:sz w:val="12"/>
                <w:szCs w:val="12"/>
                <w:lang w:val="ro-RO" w:eastAsia="ru-RU"/>
              </w:rPr>
            </w:pPr>
            <w:r w:rsidRPr="004D4A86">
              <w:rPr>
                <w:rFonts w:ascii="Times New Roman" w:hAnsi="Times New Roman"/>
                <w:sz w:val="12"/>
                <w:szCs w:val="12"/>
                <w:lang w:val="ro-RO"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F24302" w:rsidRPr="004D4A86" w:rsidRDefault="00F24302" w:rsidP="006B6AE0">
            <w:pPr>
              <w:spacing w:after="0" w:line="240" w:lineRule="auto"/>
              <w:jc w:val="center"/>
              <w:rPr>
                <w:rFonts w:ascii="Times New Roman" w:hAnsi="Times New Roman"/>
                <w:sz w:val="12"/>
                <w:szCs w:val="12"/>
                <w:lang w:val="ro-RO" w:eastAsia="ru-RU"/>
              </w:rPr>
            </w:pPr>
            <w:r w:rsidRPr="004D4A86">
              <w:rPr>
                <w:rFonts w:ascii="Times New Roman" w:hAnsi="Times New Roman"/>
                <w:sz w:val="12"/>
                <w:szCs w:val="12"/>
                <w:lang w:val="ro-RO" w:eastAsia="ru-RU"/>
              </w:rPr>
              <w:t>5</w:t>
            </w:r>
          </w:p>
        </w:tc>
        <w:tc>
          <w:tcPr>
            <w:tcW w:w="940" w:type="dxa"/>
            <w:tcBorders>
              <w:top w:val="single" w:sz="4" w:space="0" w:color="auto"/>
              <w:left w:val="single" w:sz="4" w:space="0" w:color="auto"/>
              <w:bottom w:val="single" w:sz="4" w:space="0" w:color="auto"/>
              <w:right w:val="single" w:sz="4" w:space="0" w:color="auto"/>
            </w:tcBorders>
            <w:hideMark/>
          </w:tcPr>
          <w:p w:rsidR="00F24302" w:rsidRPr="004D4A86" w:rsidRDefault="00F24302" w:rsidP="006B6AE0">
            <w:pPr>
              <w:spacing w:after="0" w:line="240" w:lineRule="auto"/>
              <w:jc w:val="center"/>
              <w:rPr>
                <w:rFonts w:ascii="Times New Roman" w:hAnsi="Times New Roman"/>
                <w:sz w:val="12"/>
                <w:szCs w:val="12"/>
                <w:lang w:val="ro-RO" w:eastAsia="ru-RU"/>
              </w:rPr>
            </w:pPr>
            <w:r w:rsidRPr="004D4A86">
              <w:rPr>
                <w:rFonts w:ascii="Times New Roman" w:hAnsi="Times New Roman"/>
                <w:sz w:val="12"/>
                <w:szCs w:val="12"/>
                <w:lang w:val="ro-RO" w:eastAsia="ru-RU"/>
              </w:rPr>
              <w:t>6</w:t>
            </w:r>
          </w:p>
        </w:tc>
        <w:tc>
          <w:tcPr>
            <w:tcW w:w="940" w:type="dxa"/>
            <w:tcBorders>
              <w:top w:val="single" w:sz="4" w:space="0" w:color="auto"/>
              <w:left w:val="single" w:sz="4" w:space="0" w:color="auto"/>
              <w:bottom w:val="single" w:sz="4" w:space="0" w:color="auto"/>
              <w:right w:val="single" w:sz="4" w:space="0" w:color="auto"/>
            </w:tcBorders>
            <w:hideMark/>
          </w:tcPr>
          <w:p w:rsidR="00F24302" w:rsidRPr="004D4A86" w:rsidRDefault="00F24302" w:rsidP="006B6AE0">
            <w:pPr>
              <w:spacing w:after="0" w:line="240" w:lineRule="auto"/>
              <w:jc w:val="center"/>
              <w:rPr>
                <w:rFonts w:ascii="Times New Roman" w:hAnsi="Times New Roman"/>
                <w:sz w:val="12"/>
                <w:szCs w:val="12"/>
                <w:lang w:val="ro-RO" w:eastAsia="ru-RU"/>
              </w:rPr>
            </w:pPr>
            <w:r w:rsidRPr="004D4A86">
              <w:rPr>
                <w:rFonts w:ascii="Times New Roman" w:hAnsi="Times New Roman"/>
                <w:sz w:val="12"/>
                <w:szCs w:val="12"/>
                <w:lang w:val="ro-RO" w:eastAsia="ru-RU"/>
              </w:rPr>
              <w:t>7</w:t>
            </w:r>
          </w:p>
        </w:tc>
        <w:tc>
          <w:tcPr>
            <w:tcW w:w="940" w:type="dxa"/>
            <w:tcBorders>
              <w:top w:val="single" w:sz="4" w:space="0" w:color="auto"/>
              <w:left w:val="single" w:sz="4" w:space="0" w:color="auto"/>
              <w:bottom w:val="single" w:sz="4" w:space="0" w:color="auto"/>
              <w:right w:val="single" w:sz="4" w:space="0" w:color="auto"/>
            </w:tcBorders>
            <w:hideMark/>
          </w:tcPr>
          <w:p w:rsidR="00F24302" w:rsidRPr="004D4A86" w:rsidRDefault="00F24302" w:rsidP="006B6AE0">
            <w:pPr>
              <w:spacing w:after="0" w:line="240" w:lineRule="auto"/>
              <w:ind w:left="-75"/>
              <w:jc w:val="center"/>
              <w:rPr>
                <w:rFonts w:ascii="Times New Roman" w:hAnsi="Times New Roman"/>
                <w:sz w:val="12"/>
                <w:szCs w:val="12"/>
                <w:lang w:val="ro-RO" w:eastAsia="ru-RU"/>
              </w:rPr>
            </w:pPr>
            <w:r w:rsidRPr="004D4A86">
              <w:rPr>
                <w:rFonts w:ascii="Times New Roman" w:hAnsi="Times New Roman"/>
                <w:sz w:val="12"/>
                <w:szCs w:val="12"/>
                <w:lang w:val="ro-RO" w:eastAsia="ru-RU"/>
              </w:rPr>
              <w:t>8</w:t>
            </w:r>
          </w:p>
        </w:tc>
        <w:tc>
          <w:tcPr>
            <w:tcW w:w="796" w:type="dxa"/>
            <w:tcBorders>
              <w:top w:val="single" w:sz="4" w:space="0" w:color="auto"/>
              <w:left w:val="single" w:sz="4" w:space="0" w:color="auto"/>
              <w:bottom w:val="single" w:sz="4" w:space="0" w:color="auto"/>
              <w:right w:val="single" w:sz="4" w:space="0" w:color="auto"/>
            </w:tcBorders>
            <w:hideMark/>
          </w:tcPr>
          <w:p w:rsidR="00F24302" w:rsidRPr="004D4A86" w:rsidRDefault="00F24302" w:rsidP="006B6AE0">
            <w:pPr>
              <w:spacing w:after="0" w:line="240" w:lineRule="auto"/>
              <w:ind w:left="-159"/>
              <w:jc w:val="center"/>
              <w:rPr>
                <w:rFonts w:ascii="Times New Roman" w:hAnsi="Times New Roman"/>
                <w:sz w:val="12"/>
                <w:szCs w:val="12"/>
                <w:lang w:val="ro-RO" w:eastAsia="ru-RU"/>
              </w:rPr>
            </w:pPr>
            <w:r w:rsidRPr="004D4A86">
              <w:rPr>
                <w:rFonts w:ascii="Times New Roman" w:hAnsi="Times New Roman"/>
                <w:sz w:val="12"/>
                <w:szCs w:val="12"/>
                <w:lang w:val="ro-RO" w:eastAsia="ru-RU"/>
              </w:rPr>
              <w:t>9=8-4</w:t>
            </w:r>
          </w:p>
        </w:tc>
        <w:tc>
          <w:tcPr>
            <w:tcW w:w="567" w:type="dxa"/>
            <w:tcBorders>
              <w:top w:val="single" w:sz="4" w:space="0" w:color="auto"/>
              <w:left w:val="single" w:sz="4" w:space="0" w:color="auto"/>
              <w:bottom w:val="single" w:sz="4" w:space="0" w:color="auto"/>
              <w:right w:val="single" w:sz="4" w:space="0" w:color="auto"/>
            </w:tcBorders>
            <w:hideMark/>
          </w:tcPr>
          <w:p w:rsidR="00F24302" w:rsidRPr="004D4A86" w:rsidRDefault="00F24302" w:rsidP="006B6AE0">
            <w:pPr>
              <w:spacing w:after="0" w:line="240" w:lineRule="auto"/>
              <w:ind w:left="-104"/>
              <w:jc w:val="center"/>
              <w:rPr>
                <w:rFonts w:ascii="Times New Roman" w:hAnsi="Times New Roman"/>
                <w:sz w:val="12"/>
                <w:szCs w:val="12"/>
                <w:lang w:val="ro-RO" w:eastAsia="ru-RU"/>
              </w:rPr>
            </w:pPr>
            <w:r w:rsidRPr="004D4A86">
              <w:rPr>
                <w:rFonts w:ascii="Times New Roman" w:hAnsi="Times New Roman"/>
                <w:sz w:val="12"/>
                <w:szCs w:val="12"/>
                <w:lang w:val="ro-RO" w:eastAsia="ru-RU"/>
              </w:rPr>
              <w:t>10=8/4</w:t>
            </w:r>
          </w:p>
        </w:tc>
      </w:tr>
      <w:tr w:rsidR="00F24302" w:rsidRPr="00121F51" w:rsidTr="006B6AE0">
        <w:trPr>
          <w:jc w:val="center"/>
        </w:trPr>
        <w:tc>
          <w:tcPr>
            <w:tcW w:w="56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18"/>
                <w:szCs w:val="18"/>
                <w:lang w:val="ro-RO" w:eastAsia="ru-RU"/>
              </w:rPr>
            </w:pPr>
            <w:r w:rsidRPr="00121F51">
              <w:rPr>
                <w:rFonts w:ascii="Times New Roman" w:hAnsi="Times New Roman"/>
                <w:sz w:val="18"/>
                <w:szCs w:val="18"/>
                <w:lang w:val="ro-RO" w:eastAsia="ru-RU"/>
              </w:rPr>
              <w:t>1</w:t>
            </w:r>
          </w:p>
        </w:tc>
        <w:tc>
          <w:tcPr>
            <w:tcW w:w="286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18"/>
                <w:szCs w:val="18"/>
                <w:lang w:val="ro-RO" w:eastAsia="ru-RU"/>
              </w:rPr>
            </w:pPr>
            <w:r w:rsidRPr="00121F51">
              <w:rPr>
                <w:rFonts w:ascii="Times New Roman" w:hAnsi="Times New Roman"/>
                <w:sz w:val="18"/>
                <w:szCs w:val="18"/>
                <w:lang w:val="ro-RO" w:eastAsia="ru-RU"/>
              </w:rPr>
              <w:t>Venituri executate, total</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18"/>
                <w:szCs w:val="18"/>
                <w:lang w:val="ro-RO" w:eastAsia="ru-RU"/>
              </w:rPr>
            </w:pPr>
            <w:r w:rsidRPr="00121F51">
              <w:rPr>
                <w:rFonts w:ascii="Times New Roman" w:hAnsi="Times New Roman"/>
                <w:sz w:val="18"/>
                <w:szCs w:val="18"/>
                <w:lang w:val="ro-RO" w:eastAsia="ru-RU"/>
              </w:rPr>
              <w:t>mil.lei</w:t>
            </w:r>
          </w:p>
        </w:tc>
        <w:tc>
          <w:tcPr>
            <w:tcW w:w="81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41"/>
              <w:jc w:val="right"/>
              <w:rPr>
                <w:rFonts w:ascii="Times New Roman" w:hAnsi="Times New Roman"/>
                <w:sz w:val="18"/>
                <w:szCs w:val="18"/>
                <w:lang w:val="ro-RO" w:eastAsia="ru-RU"/>
              </w:rPr>
            </w:pPr>
            <w:r w:rsidRPr="00121F51">
              <w:rPr>
                <w:rFonts w:ascii="Times New Roman" w:hAnsi="Times New Roman"/>
                <w:sz w:val="18"/>
                <w:szCs w:val="18"/>
                <w:lang w:val="ro-RO" w:eastAsia="ru-RU"/>
              </w:rPr>
              <w:t>189025,7</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08"/>
              <w:jc w:val="right"/>
              <w:rPr>
                <w:rFonts w:ascii="Times New Roman" w:hAnsi="Times New Roman"/>
                <w:sz w:val="18"/>
                <w:szCs w:val="18"/>
                <w:lang w:val="ro-RO" w:eastAsia="ru-RU"/>
              </w:rPr>
            </w:pPr>
            <w:r w:rsidRPr="00121F51">
              <w:rPr>
                <w:rFonts w:ascii="Times New Roman" w:hAnsi="Times New Roman"/>
                <w:sz w:val="18"/>
                <w:szCs w:val="18"/>
                <w:lang w:val="ro-RO" w:eastAsia="ru-RU"/>
              </w:rPr>
              <w:t>205309,7</w:t>
            </w:r>
          </w:p>
        </w:tc>
        <w:tc>
          <w:tcPr>
            <w:tcW w:w="9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235008,3</w:t>
            </w:r>
          </w:p>
        </w:tc>
        <w:tc>
          <w:tcPr>
            <w:tcW w:w="9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278167,3</w:t>
            </w:r>
          </w:p>
        </w:tc>
        <w:tc>
          <w:tcPr>
            <w:tcW w:w="9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273888,7</w:t>
            </w:r>
          </w:p>
        </w:tc>
        <w:tc>
          <w:tcPr>
            <w:tcW w:w="79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59"/>
              <w:jc w:val="right"/>
              <w:rPr>
                <w:rFonts w:ascii="Times New Roman" w:hAnsi="Times New Roman"/>
                <w:sz w:val="18"/>
                <w:szCs w:val="18"/>
                <w:lang w:val="ro-RO" w:eastAsia="ru-RU"/>
              </w:rPr>
            </w:pPr>
            <w:r w:rsidRPr="00121F51">
              <w:rPr>
                <w:rFonts w:ascii="Times New Roman" w:hAnsi="Times New Roman"/>
                <w:sz w:val="18"/>
                <w:szCs w:val="18"/>
                <w:lang w:val="ro-RO" w:eastAsia="ru-RU"/>
              </w:rPr>
              <w:t>84863,0</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04"/>
              <w:jc w:val="right"/>
              <w:rPr>
                <w:rFonts w:ascii="Times New Roman" w:hAnsi="Times New Roman"/>
                <w:sz w:val="18"/>
                <w:szCs w:val="18"/>
                <w:lang w:val="ro-RO" w:eastAsia="ru-RU"/>
              </w:rPr>
            </w:pPr>
            <w:r w:rsidRPr="00121F51">
              <w:rPr>
                <w:rFonts w:ascii="Times New Roman" w:hAnsi="Times New Roman"/>
                <w:sz w:val="18"/>
                <w:szCs w:val="18"/>
                <w:lang w:val="ro-RO" w:eastAsia="ru-RU"/>
              </w:rPr>
              <w:t>144,9</w:t>
            </w:r>
          </w:p>
        </w:tc>
      </w:tr>
      <w:tr w:rsidR="00F24302" w:rsidRPr="00121F51" w:rsidTr="006B6AE0">
        <w:trPr>
          <w:jc w:val="center"/>
        </w:trPr>
        <w:tc>
          <w:tcPr>
            <w:tcW w:w="56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18"/>
                <w:szCs w:val="18"/>
                <w:lang w:val="ro-RO" w:eastAsia="ru-RU"/>
              </w:rPr>
            </w:pPr>
            <w:r w:rsidRPr="00121F51">
              <w:rPr>
                <w:rFonts w:ascii="Times New Roman" w:hAnsi="Times New Roman"/>
                <w:sz w:val="18"/>
                <w:szCs w:val="18"/>
                <w:lang w:val="ro-RO" w:eastAsia="ru-RU"/>
              </w:rPr>
              <w:t>2</w:t>
            </w:r>
          </w:p>
        </w:tc>
        <w:tc>
          <w:tcPr>
            <w:tcW w:w="286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18"/>
                <w:szCs w:val="18"/>
                <w:lang w:val="ro-RO" w:eastAsia="ru-RU"/>
              </w:rPr>
            </w:pPr>
            <w:r>
              <w:rPr>
                <w:rFonts w:ascii="Times New Roman" w:hAnsi="Times New Roman"/>
                <w:sz w:val="18"/>
                <w:szCs w:val="18"/>
                <w:lang w:val="ro-RO" w:eastAsia="ru-RU"/>
              </w:rPr>
              <w:t>i</w:t>
            </w:r>
            <w:r w:rsidRPr="00121F51">
              <w:rPr>
                <w:rFonts w:ascii="Times New Roman" w:hAnsi="Times New Roman"/>
                <w:sz w:val="18"/>
                <w:szCs w:val="18"/>
                <w:lang w:val="ro-RO" w:eastAsia="ru-RU"/>
              </w:rPr>
              <w:t>nclusiv transferuri de la bugetul de stat pentru cheltuieli</w:t>
            </w:r>
            <w:r>
              <w:rPr>
                <w:rFonts w:ascii="Times New Roman" w:hAnsi="Times New Roman"/>
                <w:sz w:val="18"/>
                <w:szCs w:val="18"/>
                <w:lang w:val="ro-RO" w:eastAsia="ru-RU"/>
              </w:rPr>
              <w:t>le</w:t>
            </w:r>
            <w:r w:rsidRPr="00121F51">
              <w:rPr>
                <w:rFonts w:ascii="Times New Roman" w:hAnsi="Times New Roman"/>
                <w:sz w:val="18"/>
                <w:szCs w:val="18"/>
                <w:lang w:val="ro-RO" w:eastAsia="ru-RU"/>
              </w:rPr>
              <w:t xml:space="preserve"> curente</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18"/>
                <w:szCs w:val="18"/>
                <w:lang w:val="ro-RO" w:eastAsia="ru-RU"/>
              </w:rPr>
            </w:pPr>
            <w:r w:rsidRPr="00121F51">
              <w:rPr>
                <w:rFonts w:ascii="Times New Roman" w:hAnsi="Times New Roman"/>
                <w:sz w:val="18"/>
                <w:szCs w:val="18"/>
                <w:lang w:val="ro-RO" w:eastAsia="ru-RU"/>
              </w:rPr>
              <w:t>mil.lei</w:t>
            </w:r>
          </w:p>
        </w:tc>
        <w:tc>
          <w:tcPr>
            <w:tcW w:w="81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41"/>
              <w:jc w:val="right"/>
              <w:rPr>
                <w:rFonts w:ascii="Times New Roman" w:hAnsi="Times New Roman"/>
                <w:sz w:val="18"/>
                <w:szCs w:val="18"/>
                <w:lang w:val="ro-RO" w:eastAsia="ru-RU"/>
              </w:rPr>
            </w:pPr>
            <w:r w:rsidRPr="00121F51">
              <w:rPr>
                <w:rFonts w:ascii="Times New Roman" w:hAnsi="Times New Roman"/>
                <w:sz w:val="18"/>
                <w:szCs w:val="18"/>
                <w:lang w:val="ro-RO" w:eastAsia="ru-RU"/>
              </w:rPr>
              <w:t>149272,2</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08"/>
              <w:jc w:val="right"/>
              <w:rPr>
                <w:rFonts w:ascii="Times New Roman" w:hAnsi="Times New Roman"/>
                <w:sz w:val="18"/>
                <w:szCs w:val="18"/>
                <w:lang w:val="ro-RO" w:eastAsia="ru-RU"/>
              </w:rPr>
            </w:pPr>
            <w:r w:rsidRPr="00121F51">
              <w:rPr>
                <w:rFonts w:ascii="Times New Roman" w:hAnsi="Times New Roman"/>
                <w:sz w:val="18"/>
                <w:szCs w:val="18"/>
                <w:lang w:val="ro-RO" w:eastAsia="ru-RU"/>
              </w:rPr>
              <w:t>149737,3</w:t>
            </w:r>
          </w:p>
        </w:tc>
        <w:tc>
          <w:tcPr>
            <w:tcW w:w="9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79"/>
              <w:jc w:val="right"/>
              <w:rPr>
                <w:rFonts w:ascii="Times New Roman" w:hAnsi="Times New Roman"/>
                <w:sz w:val="18"/>
                <w:szCs w:val="18"/>
                <w:lang w:val="ro-RO" w:eastAsia="ru-RU"/>
              </w:rPr>
            </w:pPr>
            <w:r w:rsidRPr="00121F51">
              <w:rPr>
                <w:rFonts w:ascii="Times New Roman" w:hAnsi="Times New Roman"/>
                <w:sz w:val="18"/>
                <w:szCs w:val="18"/>
                <w:lang w:val="ro-RO" w:eastAsia="ru-RU"/>
              </w:rPr>
              <w:t>153534,0</w:t>
            </w:r>
          </w:p>
        </w:tc>
        <w:tc>
          <w:tcPr>
            <w:tcW w:w="9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162927,7</w:t>
            </w:r>
          </w:p>
        </w:tc>
        <w:tc>
          <w:tcPr>
            <w:tcW w:w="9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187386,1</w:t>
            </w:r>
          </w:p>
        </w:tc>
        <w:tc>
          <w:tcPr>
            <w:tcW w:w="79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59"/>
              <w:jc w:val="right"/>
              <w:rPr>
                <w:rFonts w:ascii="Times New Roman" w:hAnsi="Times New Roman"/>
                <w:sz w:val="18"/>
                <w:szCs w:val="18"/>
                <w:lang w:val="ro-RO" w:eastAsia="ru-RU"/>
              </w:rPr>
            </w:pPr>
            <w:r w:rsidRPr="00121F51">
              <w:rPr>
                <w:rFonts w:ascii="Times New Roman" w:hAnsi="Times New Roman"/>
                <w:sz w:val="18"/>
                <w:szCs w:val="18"/>
                <w:lang w:val="ro-RO" w:eastAsia="ru-RU"/>
              </w:rPr>
              <w:t>38113,9</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04"/>
              <w:jc w:val="right"/>
              <w:rPr>
                <w:rFonts w:ascii="Times New Roman" w:hAnsi="Times New Roman"/>
                <w:sz w:val="18"/>
                <w:szCs w:val="18"/>
                <w:lang w:val="ro-RO" w:eastAsia="ru-RU"/>
              </w:rPr>
            </w:pPr>
            <w:r w:rsidRPr="00121F51">
              <w:rPr>
                <w:rFonts w:ascii="Times New Roman" w:hAnsi="Times New Roman"/>
                <w:sz w:val="18"/>
                <w:szCs w:val="18"/>
                <w:lang w:val="ro-RO" w:eastAsia="ru-RU"/>
              </w:rPr>
              <w:t>125,5</w:t>
            </w:r>
          </w:p>
        </w:tc>
      </w:tr>
      <w:tr w:rsidR="00F24302" w:rsidRPr="00121F51" w:rsidTr="006B6AE0">
        <w:trPr>
          <w:jc w:val="center"/>
        </w:trPr>
        <w:tc>
          <w:tcPr>
            <w:tcW w:w="56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18"/>
                <w:szCs w:val="18"/>
                <w:lang w:val="ro-RO" w:eastAsia="ru-RU"/>
              </w:rPr>
            </w:pPr>
            <w:r w:rsidRPr="00121F51">
              <w:rPr>
                <w:rFonts w:ascii="Times New Roman" w:hAnsi="Times New Roman"/>
                <w:sz w:val="18"/>
                <w:szCs w:val="18"/>
                <w:lang w:val="ro-RO" w:eastAsia="ru-RU"/>
              </w:rPr>
              <w:t>3</w:t>
            </w:r>
          </w:p>
        </w:tc>
        <w:tc>
          <w:tcPr>
            <w:tcW w:w="2866" w:type="dxa"/>
            <w:tcBorders>
              <w:top w:val="single" w:sz="4" w:space="0" w:color="auto"/>
              <w:left w:val="single" w:sz="4" w:space="0" w:color="auto"/>
              <w:bottom w:val="single" w:sz="4" w:space="0" w:color="auto"/>
              <w:right w:val="single" w:sz="4" w:space="0" w:color="auto"/>
            </w:tcBorders>
            <w:hideMark/>
          </w:tcPr>
          <w:p w:rsidR="00F24302" w:rsidRPr="00B51900" w:rsidRDefault="00F24302" w:rsidP="006B6AE0">
            <w:pPr>
              <w:spacing w:after="0" w:line="240" w:lineRule="auto"/>
              <w:rPr>
                <w:rFonts w:ascii="Times New Roman" w:hAnsi="Times New Roman"/>
                <w:sz w:val="18"/>
                <w:szCs w:val="18"/>
                <w:lang w:val="ro-RO" w:eastAsia="ru-RU"/>
              </w:rPr>
            </w:pPr>
            <w:r w:rsidRPr="00B51900">
              <w:rPr>
                <w:rFonts w:ascii="Times New Roman" w:hAnsi="Times New Roman"/>
                <w:sz w:val="18"/>
                <w:szCs w:val="18"/>
                <w:lang w:val="ro-RO" w:eastAsia="ru-RU"/>
              </w:rPr>
              <w:t>Suma cheltuielilor pentru învă</w:t>
            </w:r>
            <w:r w:rsidRPr="004D4A86">
              <w:rPr>
                <w:rFonts w:ascii="Times New Roman" w:hAnsi="Times New Roman"/>
                <w:sz w:val="18"/>
                <w:szCs w:val="18"/>
                <w:lang w:val="ro-RO" w:eastAsia="ru-RU"/>
              </w:rPr>
              <w:t>ț</w:t>
            </w:r>
            <w:r w:rsidRPr="00B51900">
              <w:rPr>
                <w:rFonts w:ascii="Times New Roman" w:hAnsi="Times New Roman"/>
                <w:sz w:val="18"/>
                <w:szCs w:val="18"/>
                <w:lang w:val="ro-RO" w:eastAsia="ru-RU"/>
              </w:rPr>
              <w:t>ămî</w:t>
            </w:r>
            <w:r w:rsidRPr="00135479">
              <w:rPr>
                <w:rFonts w:ascii="Times New Roman" w:hAnsi="Times New Roman"/>
                <w:sz w:val="18"/>
                <w:szCs w:val="18"/>
                <w:lang w:val="ro-RO" w:eastAsia="ru-RU"/>
              </w:rPr>
              <w:t xml:space="preserve">ntul primar </w:t>
            </w:r>
            <w:r w:rsidRPr="004D4A86">
              <w:rPr>
                <w:rFonts w:ascii="Times New Roman" w:hAnsi="Times New Roman"/>
                <w:sz w:val="18"/>
                <w:szCs w:val="18"/>
                <w:lang w:val="ro-RO" w:eastAsia="ru-RU"/>
              </w:rPr>
              <w:t>ș</w:t>
            </w:r>
            <w:r w:rsidRPr="00B51900">
              <w:rPr>
                <w:rFonts w:ascii="Times New Roman" w:hAnsi="Times New Roman"/>
                <w:sz w:val="18"/>
                <w:szCs w:val="18"/>
                <w:lang w:val="ro-RO" w:eastAsia="ru-RU"/>
              </w:rPr>
              <w:t xml:space="preserve">i secundar* </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18"/>
                <w:szCs w:val="18"/>
                <w:lang w:val="ro-RO" w:eastAsia="ru-RU"/>
              </w:rPr>
            </w:pPr>
            <w:r w:rsidRPr="00121F51">
              <w:rPr>
                <w:rFonts w:ascii="Times New Roman" w:hAnsi="Times New Roman"/>
                <w:sz w:val="18"/>
                <w:szCs w:val="18"/>
                <w:lang w:val="ro-RO" w:eastAsia="ru-RU"/>
              </w:rPr>
              <w:t>mil. lei</w:t>
            </w:r>
          </w:p>
        </w:tc>
        <w:tc>
          <w:tcPr>
            <w:tcW w:w="81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41"/>
              <w:jc w:val="right"/>
              <w:rPr>
                <w:rFonts w:ascii="Times New Roman" w:hAnsi="Times New Roman"/>
                <w:sz w:val="18"/>
                <w:szCs w:val="18"/>
                <w:lang w:val="ro-RO"/>
              </w:rPr>
            </w:pPr>
            <w:r w:rsidRPr="00121F51">
              <w:rPr>
                <w:rFonts w:ascii="Times New Roman" w:hAnsi="Times New Roman"/>
                <w:sz w:val="18"/>
                <w:szCs w:val="18"/>
                <w:lang w:val="ro-RO"/>
              </w:rPr>
              <w:t>80963,9</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8"/>
              <w:jc w:val="right"/>
              <w:rPr>
                <w:rFonts w:ascii="Times New Roman" w:hAnsi="Times New Roman"/>
                <w:sz w:val="18"/>
                <w:szCs w:val="18"/>
                <w:lang w:val="ro-RO"/>
              </w:rPr>
            </w:pPr>
            <w:r w:rsidRPr="00121F51">
              <w:rPr>
                <w:rFonts w:ascii="Times New Roman" w:hAnsi="Times New Roman"/>
                <w:sz w:val="18"/>
                <w:szCs w:val="18"/>
                <w:lang w:val="ro-RO"/>
              </w:rPr>
              <w:t>88941,4</w:t>
            </w:r>
          </w:p>
        </w:tc>
        <w:tc>
          <w:tcPr>
            <w:tcW w:w="9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jc w:val="right"/>
              <w:rPr>
                <w:rFonts w:ascii="Times New Roman" w:hAnsi="Times New Roman"/>
                <w:sz w:val="18"/>
                <w:szCs w:val="18"/>
                <w:lang w:val="ro-RO"/>
              </w:rPr>
            </w:pPr>
            <w:r w:rsidRPr="00121F51">
              <w:rPr>
                <w:rFonts w:ascii="Times New Roman" w:hAnsi="Times New Roman"/>
                <w:sz w:val="18"/>
                <w:szCs w:val="18"/>
                <w:lang w:val="ro-RO"/>
              </w:rPr>
              <w:t>88035,1</w:t>
            </w:r>
          </w:p>
        </w:tc>
        <w:tc>
          <w:tcPr>
            <w:tcW w:w="9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jc w:val="right"/>
              <w:rPr>
                <w:rFonts w:ascii="Times New Roman" w:hAnsi="Times New Roman"/>
                <w:sz w:val="18"/>
                <w:szCs w:val="18"/>
                <w:lang w:val="ro-RO"/>
              </w:rPr>
            </w:pPr>
            <w:r w:rsidRPr="00121F51">
              <w:rPr>
                <w:rFonts w:ascii="Times New Roman" w:hAnsi="Times New Roman"/>
                <w:sz w:val="18"/>
                <w:szCs w:val="18"/>
                <w:lang w:val="ro-RO"/>
              </w:rPr>
              <w:t>103771,1</w:t>
            </w:r>
          </w:p>
        </w:tc>
        <w:tc>
          <w:tcPr>
            <w:tcW w:w="9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jc w:val="right"/>
              <w:rPr>
                <w:rFonts w:ascii="Times New Roman" w:hAnsi="Times New Roman"/>
                <w:sz w:val="18"/>
                <w:szCs w:val="18"/>
                <w:lang w:val="ro-RO"/>
              </w:rPr>
            </w:pPr>
            <w:r w:rsidRPr="00121F51">
              <w:rPr>
                <w:rFonts w:ascii="Times New Roman" w:hAnsi="Times New Roman"/>
                <w:sz w:val="18"/>
                <w:szCs w:val="18"/>
                <w:lang w:val="ro-RO"/>
              </w:rPr>
              <w:t>99665,2</w:t>
            </w:r>
          </w:p>
        </w:tc>
        <w:tc>
          <w:tcPr>
            <w:tcW w:w="79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59"/>
              <w:jc w:val="right"/>
              <w:rPr>
                <w:rFonts w:ascii="Times New Roman" w:hAnsi="Times New Roman"/>
                <w:sz w:val="18"/>
                <w:szCs w:val="18"/>
                <w:lang w:val="ro-RO"/>
              </w:rPr>
            </w:pPr>
            <w:r w:rsidRPr="00121F51">
              <w:rPr>
                <w:rFonts w:ascii="Times New Roman" w:hAnsi="Times New Roman"/>
                <w:sz w:val="18"/>
                <w:szCs w:val="18"/>
                <w:lang w:val="ro-RO"/>
              </w:rPr>
              <w:t>18701,3</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ind w:left="-104"/>
              <w:jc w:val="right"/>
              <w:rPr>
                <w:rFonts w:ascii="Times New Roman" w:hAnsi="Times New Roman"/>
                <w:sz w:val="18"/>
                <w:szCs w:val="18"/>
                <w:lang w:val="ro-RO"/>
              </w:rPr>
            </w:pPr>
            <w:r w:rsidRPr="00121F51">
              <w:rPr>
                <w:rFonts w:ascii="Times New Roman" w:hAnsi="Times New Roman"/>
                <w:sz w:val="18"/>
                <w:szCs w:val="18"/>
                <w:lang w:val="ro-RO"/>
              </w:rPr>
              <w:t>123,1</w:t>
            </w:r>
          </w:p>
        </w:tc>
      </w:tr>
      <w:tr w:rsidR="00F24302" w:rsidRPr="00121F51" w:rsidTr="006B6AE0">
        <w:trPr>
          <w:jc w:val="center"/>
        </w:trPr>
        <w:tc>
          <w:tcPr>
            <w:tcW w:w="56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18"/>
                <w:szCs w:val="18"/>
                <w:lang w:val="ro-RO" w:eastAsia="ru-RU"/>
              </w:rPr>
            </w:pPr>
            <w:r w:rsidRPr="00121F51">
              <w:rPr>
                <w:rFonts w:ascii="Times New Roman" w:hAnsi="Times New Roman"/>
                <w:sz w:val="18"/>
                <w:szCs w:val="18"/>
                <w:lang w:val="ro-RO" w:eastAsia="ru-RU"/>
              </w:rPr>
              <w:t>4</w:t>
            </w:r>
          </w:p>
        </w:tc>
        <w:tc>
          <w:tcPr>
            <w:tcW w:w="2866" w:type="dxa"/>
            <w:tcBorders>
              <w:top w:val="single" w:sz="4" w:space="0" w:color="auto"/>
              <w:left w:val="single" w:sz="4" w:space="0" w:color="auto"/>
              <w:bottom w:val="single" w:sz="4" w:space="0" w:color="auto"/>
              <w:right w:val="single" w:sz="4" w:space="0" w:color="auto"/>
            </w:tcBorders>
            <w:hideMark/>
          </w:tcPr>
          <w:p w:rsidR="00F24302" w:rsidRPr="00B51900" w:rsidRDefault="00F24302" w:rsidP="006B6AE0">
            <w:pPr>
              <w:spacing w:after="0" w:line="240" w:lineRule="auto"/>
              <w:rPr>
                <w:rFonts w:ascii="Times New Roman" w:hAnsi="Times New Roman"/>
                <w:sz w:val="18"/>
                <w:szCs w:val="18"/>
                <w:lang w:val="ro-RO" w:eastAsia="ru-RU"/>
              </w:rPr>
            </w:pPr>
            <w:r w:rsidRPr="00B51900">
              <w:rPr>
                <w:rFonts w:ascii="Times New Roman" w:hAnsi="Times New Roman"/>
                <w:sz w:val="18"/>
                <w:szCs w:val="18"/>
                <w:lang w:val="ro-RO" w:eastAsia="ru-RU"/>
              </w:rPr>
              <w:t>Numărul de elevi, lua</w:t>
            </w:r>
            <w:r w:rsidRPr="004D4A86">
              <w:rPr>
                <w:rFonts w:ascii="Times New Roman" w:hAnsi="Times New Roman"/>
                <w:sz w:val="18"/>
                <w:szCs w:val="18"/>
                <w:lang w:val="ro-RO" w:eastAsia="ru-RU"/>
              </w:rPr>
              <w:t>ț</w:t>
            </w:r>
            <w:r w:rsidRPr="00B51900">
              <w:rPr>
                <w:rFonts w:ascii="Times New Roman" w:hAnsi="Times New Roman"/>
                <w:sz w:val="18"/>
                <w:szCs w:val="18"/>
                <w:lang w:val="ro-RO" w:eastAsia="ru-RU"/>
              </w:rPr>
              <w:t>i în calcul**</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18"/>
                <w:szCs w:val="18"/>
                <w:lang w:val="ro-RO" w:eastAsia="ru-RU"/>
              </w:rPr>
            </w:pPr>
            <w:r w:rsidRPr="00121F51">
              <w:rPr>
                <w:rFonts w:ascii="Times New Roman" w:hAnsi="Times New Roman"/>
                <w:sz w:val="18"/>
                <w:szCs w:val="18"/>
                <w:lang w:val="ro-RO" w:eastAsia="ru-RU"/>
              </w:rPr>
              <w:t>pers.</w:t>
            </w:r>
          </w:p>
        </w:tc>
        <w:tc>
          <w:tcPr>
            <w:tcW w:w="81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41"/>
              <w:jc w:val="right"/>
              <w:rPr>
                <w:rFonts w:ascii="Times New Roman" w:hAnsi="Times New Roman"/>
                <w:sz w:val="18"/>
                <w:szCs w:val="18"/>
                <w:lang w:val="ro-RO" w:eastAsia="ru-RU"/>
              </w:rPr>
            </w:pPr>
            <w:r w:rsidRPr="00121F51">
              <w:rPr>
                <w:rFonts w:ascii="Times New Roman" w:hAnsi="Times New Roman"/>
                <w:sz w:val="18"/>
                <w:szCs w:val="18"/>
                <w:lang w:val="ro-RO" w:eastAsia="ru-RU"/>
              </w:rPr>
              <w:t>12472</w:t>
            </w:r>
          </w:p>
        </w:tc>
        <w:tc>
          <w:tcPr>
            <w:tcW w:w="85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08"/>
              <w:jc w:val="right"/>
              <w:rPr>
                <w:rFonts w:ascii="Times New Roman" w:hAnsi="Times New Roman"/>
                <w:sz w:val="18"/>
                <w:szCs w:val="18"/>
                <w:lang w:val="ro-RO" w:eastAsia="ru-RU"/>
              </w:rPr>
            </w:pPr>
            <w:r w:rsidRPr="00121F51">
              <w:rPr>
                <w:rFonts w:ascii="Times New Roman" w:hAnsi="Times New Roman"/>
                <w:sz w:val="18"/>
                <w:szCs w:val="18"/>
                <w:lang w:val="ro-RO" w:eastAsia="ru-RU"/>
              </w:rPr>
              <w:t>12307</w:t>
            </w:r>
          </w:p>
        </w:tc>
        <w:tc>
          <w:tcPr>
            <w:tcW w:w="9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11872</w:t>
            </w:r>
          </w:p>
        </w:tc>
        <w:tc>
          <w:tcPr>
            <w:tcW w:w="9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11385</w:t>
            </w:r>
          </w:p>
        </w:tc>
        <w:tc>
          <w:tcPr>
            <w:tcW w:w="9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11009</w:t>
            </w:r>
          </w:p>
        </w:tc>
        <w:tc>
          <w:tcPr>
            <w:tcW w:w="796"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59"/>
              <w:jc w:val="right"/>
              <w:rPr>
                <w:rFonts w:ascii="Times New Roman" w:hAnsi="Times New Roman"/>
                <w:sz w:val="18"/>
                <w:szCs w:val="18"/>
                <w:lang w:val="ro-RO" w:eastAsia="ru-RU"/>
              </w:rPr>
            </w:pPr>
            <w:r w:rsidRPr="00121F51">
              <w:rPr>
                <w:rFonts w:ascii="Times New Roman" w:hAnsi="Times New Roman"/>
                <w:sz w:val="18"/>
                <w:szCs w:val="18"/>
                <w:lang w:val="ro-RO" w:eastAsia="ru-RU"/>
              </w:rPr>
              <w:t>-1463</w:t>
            </w:r>
          </w:p>
        </w:tc>
        <w:tc>
          <w:tcPr>
            <w:tcW w:w="567"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104"/>
              <w:jc w:val="right"/>
              <w:rPr>
                <w:rFonts w:ascii="Times New Roman" w:hAnsi="Times New Roman"/>
                <w:sz w:val="18"/>
                <w:szCs w:val="18"/>
                <w:lang w:val="ro-RO" w:eastAsia="ru-RU"/>
              </w:rPr>
            </w:pPr>
            <w:r w:rsidRPr="00121F51">
              <w:rPr>
                <w:rFonts w:ascii="Times New Roman" w:hAnsi="Times New Roman"/>
                <w:sz w:val="18"/>
                <w:szCs w:val="18"/>
                <w:lang w:val="ro-RO" w:eastAsia="ru-RU"/>
              </w:rPr>
              <w:t>88,3</w:t>
            </w:r>
          </w:p>
        </w:tc>
      </w:tr>
    </w:tbl>
    <w:p w:rsidR="00F24302" w:rsidRPr="00121F51" w:rsidRDefault="00F24302" w:rsidP="00F24302">
      <w:pPr>
        <w:spacing w:after="0" w:line="240" w:lineRule="auto"/>
        <w:ind w:firstLine="567"/>
        <w:jc w:val="both"/>
        <w:rPr>
          <w:rFonts w:ascii="Times New Roman" w:hAnsi="Times New Roman"/>
          <w:i/>
          <w:sz w:val="20"/>
          <w:szCs w:val="20"/>
          <w:lang w:val="ro-RO" w:eastAsia="ru-RU"/>
        </w:rPr>
      </w:pPr>
      <w:r w:rsidRPr="00121F51">
        <w:rPr>
          <w:rFonts w:ascii="Times New Roman" w:hAnsi="Times New Roman"/>
          <w:i/>
          <w:sz w:val="20"/>
          <w:szCs w:val="20"/>
          <w:lang w:val="ro-RO" w:eastAsia="ru-RU"/>
        </w:rPr>
        <w:t>Sursă:</w:t>
      </w:r>
      <w:r>
        <w:rPr>
          <w:rFonts w:ascii="Times New Roman" w:hAnsi="Times New Roman"/>
          <w:i/>
          <w:sz w:val="20"/>
          <w:szCs w:val="20"/>
          <w:lang w:val="ro-RO" w:eastAsia="ru-RU"/>
        </w:rPr>
        <w:t xml:space="preserve"> I</w:t>
      </w:r>
      <w:r w:rsidRPr="0099571C">
        <w:rPr>
          <w:rFonts w:ascii="Times New Roman" w:hAnsi="Times New Roman"/>
          <w:i/>
          <w:sz w:val="20"/>
          <w:szCs w:val="20"/>
          <w:lang w:val="ro-RO" w:eastAsia="ru-RU"/>
        </w:rPr>
        <w:t>nforma</w:t>
      </w:r>
      <w:r w:rsidRPr="0098198B">
        <w:rPr>
          <w:rFonts w:ascii="Times New Roman" w:hAnsi="Times New Roman"/>
          <w:i/>
          <w:sz w:val="20"/>
          <w:szCs w:val="20"/>
          <w:lang w:val="ro-RO" w:eastAsia="ru-RU"/>
        </w:rPr>
        <w:t>ț</w:t>
      </w:r>
      <w:r w:rsidRPr="0099571C">
        <w:rPr>
          <w:rFonts w:ascii="Times New Roman" w:hAnsi="Times New Roman"/>
          <w:i/>
          <w:sz w:val="20"/>
          <w:szCs w:val="20"/>
          <w:lang w:val="ro-RO" w:eastAsia="ru-RU"/>
        </w:rPr>
        <w:t>iile pre</w:t>
      </w:r>
      <w:r w:rsidRPr="00121F51">
        <w:rPr>
          <w:rFonts w:ascii="Times New Roman" w:hAnsi="Times New Roman"/>
          <w:i/>
          <w:sz w:val="20"/>
          <w:szCs w:val="20"/>
          <w:lang w:val="ro-RO" w:eastAsia="ru-RU"/>
        </w:rPr>
        <w:t>zentate echipei de audit de către DF Sîngerei.</w:t>
      </w:r>
    </w:p>
    <w:p w:rsidR="00F24302" w:rsidRPr="00121F51" w:rsidRDefault="00F24302" w:rsidP="00F24302">
      <w:pPr>
        <w:spacing w:after="0" w:line="240" w:lineRule="auto"/>
        <w:ind w:firstLine="567"/>
        <w:jc w:val="both"/>
        <w:rPr>
          <w:rFonts w:ascii="Times New Roman" w:hAnsi="Times New Roman"/>
          <w:i/>
          <w:sz w:val="20"/>
          <w:szCs w:val="20"/>
          <w:lang w:val="ro-RO" w:eastAsia="ru-RU"/>
        </w:rPr>
      </w:pPr>
    </w:p>
    <w:p w:rsidR="00F24302" w:rsidRPr="00121F51" w:rsidRDefault="00F24302" w:rsidP="00F24302">
      <w:pPr>
        <w:spacing w:after="0" w:line="240" w:lineRule="auto"/>
        <w:jc w:val="both"/>
        <w:rPr>
          <w:rFonts w:ascii="Times New Roman" w:hAnsi="Times New Roman"/>
          <w:i/>
          <w:sz w:val="20"/>
          <w:szCs w:val="20"/>
          <w:lang w:val="ro-RO" w:eastAsia="ru-RU"/>
        </w:rPr>
      </w:pPr>
    </w:p>
    <w:p w:rsidR="00F24302" w:rsidRPr="00121F51" w:rsidRDefault="00F24302" w:rsidP="00F24302">
      <w:pPr>
        <w:spacing w:after="0" w:line="240" w:lineRule="auto"/>
        <w:ind w:firstLine="567"/>
        <w:jc w:val="both"/>
        <w:rPr>
          <w:rFonts w:ascii="Times New Roman" w:hAnsi="Times New Roman"/>
          <w:i/>
          <w:sz w:val="20"/>
          <w:szCs w:val="20"/>
          <w:lang w:val="ro-RO" w:eastAsia="ru-RU"/>
        </w:rPr>
      </w:pPr>
    </w:p>
    <w:p w:rsidR="00F24302" w:rsidRPr="00121F51" w:rsidRDefault="00F24302" w:rsidP="00F24302">
      <w:pPr>
        <w:spacing w:after="0" w:line="240" w:lineRule="auto"/>
        <w:ind w:firstLine="567"/>
        <w:jc w:val="both"/>
        <w:rPr>
          <w:rFonts w:ascii="Times New Roman" w:hAnsi="Times New Roman"/>
          <w:i/>
          <w:sz w:val="20"/>
          <w:szCs w:val="20"/>
          <w:lang w:val="ro-RO" w:eastAsia="ru-RU"/>
        </w:rPr>
      </w:pPr>
    </w:p>
    <w:p w:rsidR="00F24302" w:rsidRDefault="00F24302" w:rsidP="00F24302">
      <w:pPr>
        <w:spacing w:after="0" w:line="240" w:lineRule="auto"/>
        <w:ind w:firstLine="567"/>
        <w:jc w:val="right"/>
        <w:rPr>
          <w:rFonts w:ascii="Times New Roman" w:hAnsi="Times New Roman"/>
          <w:b/>
          <w:sz w:val="20"/>
          <w:szCs w:val="20"/>
          <w:lang w:val="ro-RO" w:eastAsia="ru-RU"/>
        </w:rPr>
      </w:pPr>
    </w:p>
    <w:p w:rsidR="00F24302" w:rsidRDefault="00F24302" w:rsidP="00F24302">
      <w:pPr>
        <w:spacing w:after="0" w:line="240" w:lineRule="auto"/>
        <w:ind w:firstLine="567"/>
        <w:jc w:val="right"/>
        <w:rPr>
          <w:rFonts w:ascii="Times New Roman" w:hAnsi="Times New Roman"/>
          <w:b/>
          <w:sz w:val="20"/>
          <w:szCs w:val="20"/>
          <w:lang w:val="ro-RO" w:eastAsia="ru-RU"/>
        </w:rPr>
      </w:pPr>
    </w:p>
    <w:p w:rsidR="00F24302" w:rsidRDefault="00F24302" w:rsidP="00F24302">
      <w:pPr>
        <w:spacing w:after="0" w:line="240" w:lineRule="auto"/>
        <w:ind w:firstLine="567"/>
        <w:jc w:val="right"/>
        <w:rPr>
          <w:rFonts w:ascii="Times New Roman" w:hAnsi="Times New Roman"/>
          <w:b/>
          <w:sz w:val="20"/>
          <w:szCs w:val="20"/>
          <w:lang w:val="ro-RO" w:eastAsia="ru-RU"/>
        </w:rPr>
      </w:pPr>
    </w:p>
    <w:p w:rsidR="00F24302" w:rsidRDefault="00F24302" w:rsidP="00F24302">
      <w:pPr>
        <w:spacing w:after="0" w:line="240" w:lineRule="auto"/>
        <w:ind w:firstLine="567"/>
        <w:jc w:val="right"/>
        <w:rPr>
          <w:rFonts w:ascii="Times New Roman" w:hAnsi="Times New Roman"/>
          <w:b/>
          <w:sz w:val="20"/>
          <w:szCs w:val="20"/>
          <w:lang w:val="ro-RO" w:eastAsia="ru-RU"/>
        </w:rPr>
      </w:pPr>
    </w:p>
    <w:p w:rsidR="00F24302" w:rsidRDefault="00F24302" w:rsidP="00F24302">
      <w:pPr>
        <w:spacing w:after="0" w:line="240" w:lineRule="auto"/>
        <w:ind w:firstLine="567"/>
        <w:jc w:val="right"/>
        <w:rPr>
          <w:rFonts w:ascii="Times New Roman" w:hAnsi="Times New Roman"/>
          <w:b/>
          <w:sz w:val="20"/>
          <w:szCs w:val="20"/>
          <w:lang w:val="ro-RO" w:eastAsia="ru-RU"/>
        </w:rPr>
      </w:pPr>
    </w:p>
    <w:p w:rsidR="00F24302" w:rsidRDefault="00F24302" w:rsidP="00F24302">
      <w:pPr>
        <w:spacing w:after="0" w:line="240" w:lineRule="auto"/>
        <w:ind w:firstLine="567"/>
        <w:jc w:val="right"/>
        <w:rPr>
          <w:rFonts w:ascii="Times New Roman" w:hAnsi="Times New Roman"/>
          <w:b/>
          <w:sz w:val="20"/>
          <w:szCs w:val="20"/>
          <w:lang w:val="ro-RO" w:eastAsia="ru-RU"/>
        </w:rPr>
      </w:pPr>
    </w:p>
    <w:p w:rsidR="00F24302" w:rsidRDefault="00F24302" w:rsidP="00F24302">
      <w:pPr>
        <w:spacing w:after="0" w:line="240" w:lineRule="auto"/>
        <w:ind w:firstLine="567"/>
        <w:jc w:val="right"/>
        <w:rPr>
          <w:rFonts w:ascii="Times New Roman" w:hAnsi="Times New Roman"/>
          <w:b/>
          <w:sz w:val="20"/>
          <w:szCs w:val="20"/>
          <w:lang w:val="ro-RO" w:eastAsia="ru-RU"/>
        </w:rPr>
      </w:pPr>
    </w:p>
    <w:p w:rsidR="00F24302" w:rsidRDefault="00F24302" w:rsidP="00F24302">
      <w:pPr>
        <w:spacing w:after="0" w:line="240" w:lineRule="auto"/>
        <w:ind w:firstLine="567"/>
        <w:jc w:val="right"/>
        <w:rPr>
          <w:rFonts w:ascii="Times New Roman" w:hAnsi="Times New Roman"/>
          <w:b/>
          <w:sz w:val="20"/>
          <w:szCs w:val="20"/>
          <w:lang w:val="ro-RO" w:eastAsia="ru-RU"/>
        </w:rPr>
      </w:pPr>
    </w:p>
    <w:p w:rsidR="00F24302" w:rsidRPr="00121F51" w:rsidRDefault="00F24302" w:rsidP="00F24302">
      <w:pPr>
        <w:spacing w:after="0" w:line="240" w:lineRule="auto"/>
        <w:ind w:firstLine="567"/>
        <w:jc w:val="right"/>
        <w:rPr>
          <w:rFonts w:ascii="Times New Roman" w:hAnsi="Times New Roman"/>
          <w:b/>
          <w:sz w:val="24"/>
          <w:szCs w:val="24"/>
          <w:lang w:val="ro-RO" w:eastAsia="ru-RU"/>
        </w:rPr>
      </w:pPr>
      <w:r w:rsidRPr="00121F51">
        <w:rPr>
          <w:rFonts w:ascii="Times New Roman" w:hAnsi="Times New Roman"/>
          <w:b/>
          <w:sz w:val="20"/>
          <w:szCs w:val="20"/>
          <w:lang w:val="ro-RO" w:eastAsia="ru-RU"/>
        </w:rPr>
        <w:lastRenderedPageBreak/>
        <w:t>Tabelul nr.4</w:t>
      </w:r>
    </w:p>
    <w:p w:rsidR="00F24302" w:rsidRPr="00121F51" w:rsidRDefault="00F24302" w:rsidP="00F24302">
      <w:pPr>
        <w:spacing w:after="0" w:line="240" w:lineRule="auto"/>
        <w:ind w:firstLine="567"/>
        <w:jc w:val="right"/>
        <w:rPr>
          <w:rFonts w:ascii="Times New Roman" w:hAnsi="Times New Roman"/>
          <w:sz w:val="24"/>
          <w:szCs w:val="24"/>
          <w:lang w:val="ro-RO" w:eastAsia="ru-RU"/>
        </w:rPr>
      </w:pPr>
      <w:r w:rsidRPr="00121F51">
        <w:rPr>
          <w:rFonts w:ascii="Times New Roman" w:hAnsi="Times New Roman"/>
          <w:i/>
          <w:sz w:val="20"/>
          <w:szCs w:val="20"/>
          <w:lang w:val="ro-RO" w:eastAsia="ru-RU"/>
        </w:rPr>
        <w:t>(mil.lei)</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8"/>
        <w:gridCol w:w="841"/>
        <w:gridCol w:w="864"/>
        <w:gridCol w:w="864"/>
        <w:gridCol w:w="801"/>
        <w:gridCol w:w="864"/>
        <w:gridCol w:w="864"/>
        <w:gridCol w:w="762"/>
        <w:gridCol w:w="864"/>
        <w:gridCol w:w="864"/>
        <w:gridCol w:w="580"/>
      </w:tblGrid>
      <w:tr w:rsidR="00F24302" w:rsidRPr="00121F51" w:rsidTr="006B6AE0">
        <w:trPr>
          <w:cantSplit/>
          <w:trHeight w:val="1134"/>
          <w:jc w:val="center"/>
        </w:trPr>
        <w:tc>
          <w:tcPr>
            <w:tcW w:w="1848"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ind w:left="743" w:hanging="743"/>
              <w:jc w:val="center"/>
              <w:rPr>
                <w:rFonts w:ascii="Times New Roman" w:hAnsi="Times New Roman"/>
                <w:b/>
                <w:sz w:val="18"/>
                <w:szCs w:val="18"/>
                <w:lang w:val="ro-RO" w:eastAsia="ru-RU"/>
              </w:rPr>
            </w:pPr>
            <w:r w:rsidRPr="00121F51">
              <w:rPr>
                <w:rFonts w:ascii="Times New Roman" w:hAnsi="Times New Roman"/>
                <w:b/>
                <w:bCs/>
                <w:sz w:val="18"/>
                <w:szCs w:val="18"/>
                <w:lang w:val="ro-RO" w:eastAsia="ru-RU"/>
              </w:rPr>
              <w:t>Indicatori</w:t>
            </w:r>
          </w:p>
        </w:tc>
        <w:tc>
          <w:tcPr>
            <w:tcW w:w="841"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113" w:right="113"/>
              <w:jc w:val="center"/>
              <w:rPr>
                <w:rFonts w:ascii="Times New Roman" w:hAnsi="Times New Roman"/>
                <w:b/>
                <w:sz w:val="18"/>
                <w:szCs w:val="18"/>
                <w:lang w:val="ro-RO" w:eastAsia="ru-RU"/>
              </w:rPr>
            </w:pPr>
            <w:r w:rsidRPr="00121F51">
              <w:rPr>
                <w:rFonts w:ascii="Times New Roman" w:hAnsi="Times New Roman"/>
                <w:b/>
                <w:sz w:val="18"/>
                <w:szCs w:val="18"/>
                <w:lang w:val="ro-RO" w:eastAsia="ru-RU"/>
              </w:rPr>
              <w:t>Restan</w:t>
            </w:r>
            <w:r w:rsidRPr="0098198B">
              <w:rPr>
                <w:rFonts w:ascii="Times New Roman" w:hAnsi="Times New Roman"/>
                <w:b/>
                <w:sz w:val="18"/>
                <w:szCs w:val="18"/>
                <w:lang w:val="ro-RO" w:eastAsia="ru-RU"/>
              </w:rPr>
              <w:t>ț</w:t>
            </w:r>
            <w:r w:rsidRPr="00121F51">
              <w:rPr>
                <w:rFonts w:ascii="Times New Roman" w:hAnsi="Times New Roman"/>
                <w:b/>
                <w:sz w:val="18"/>
                <w:szCs w:val="18"/>
                <w:lang w:val="ro-RO" w:eastAsia="ru-RU"/>
              </w:rPr>
              <w:t>e la 01.01.2013</w:t>
            </w:r>
          </w:p>
        </w:tc>
        <w:tc>
          <w:tcPr>
            <w:tcW w:w="864"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113" w:right="113"/>
              <w:jc w:val="center"/>
              <w:rPr>
                <w:rFonts w:ascii="Times New Roman" w:hAnsi="Times New Roman"/>
                <w:b/>
                <w:sz w:val="18"/>
                <w:szCs w:val="18"/>
                <w:lang w:val="ro-RO" w:eastAsia="ru-RU"/>
              </w:rPr>
            </w:pPr>
            <w:r w:rsidRPr="00121F51">
              <w:rPr>
                <w:rFonts w:ascii="Times New Roman" w:hAnsi="Times New Roman"/>
                <w:b/>
                <w:sz w:val="18"/>
                <w:szCs w:val="18"/>
                <w:lang w:val="ro-RO" w:eastAsia="ru-RU"/>
              </w:rPr>
              <w:t>Venituri, 2013</w:t>
            </w:r>
          </w:p>
        </w:tc>
        <w:tc>
          <w:tcPr>
            <w:tcW w:w="864"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ind w:right="-108" w:hanging="108"/>
              <w:jc w:val="center"/>
              <w:rPr>
                <w:rFonts w:ascii="Times New Roman" w:hAnsi="Times New Roman"/>
                <w:b/>
                <w:sz w:val="18"/>
                <w:szCs w:val="18"/>
                <w:lang w:val="ro-RO" w:eastAsia="ru-RU"/>
              </w:rPr>
            </w:pPr>
            <w:r w:rsidRPr="00121F51">
              <w:rPr>
                <w:rFonts w:ascii="Times New Roman" w:hAnsi="Times New Roman"/>
                <w:b/>
                <w:sz w:val="18"/>
                <w:szCs w:val="18"/>
                <w:lang w:val="ro-RO" w:eastAsia="ru-RU"/>
              </w:rPr>
              <w:t>Ponderea, %</w:t>
            </w:r>
          </w:p>
        </w:tc>
        <w:tc>
          <w:tcPr>
            <w:tcW w:w="801"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113" w:right="113"/>
              <w:jc w:val="center"/>
              <w:rPr>
                <w:rFonts w:ascii="Times New Roman" w:hAnsi="Times New Roman"/>
                <w:b/>
                <w:sz w:val="18"/>
                <w:szCs w:val="18"/>
                <w:lang w:val="ro-RO" w:eastAsia="ru-RU"/>
              </w:rPr>
            </w:pPr>
            <w:r w:rsidRPr="00121F51">
              <w:rPr>
                <w:rFonts w:ascii="Times New Roman" w:hAnsi="Times New Roman"/>
                <w:b/>
                <w:sz w:val="18"/>
                <w:szCs w:val="18"/>
                <w:lang w:val="ro-RO" w:eastAsia="ru-RU"/>
              </w:rPr>
              <w:t>Restan</w:t>
            </w:r>
            <w:r w:rsidRPr="0098198B">
              <w:rPr>
                <w:rFonts w:ascii="Times New Roman" w:hAnsi="Times New Roman"/>
                <w:b/>
                <w:sz w:val="18"/>
                <w:szCs w:val="18"/>
                <w:lang w:val="ro-RO" w:eastAsia="ru-RU"/>
              </w:rPr>
              <w:t>ț</w:t>
            </w:r>
            <w:r w:rsidRPr="00121F51">
              <w:rPr>
                <w:rFonts w:ascii="Times New Roman" w:hAnsi="Times New Roman"/>
                <w:b/>
                <w:sz w:val="18"/>
                <w:szCs w:val="18"/>
                <w:lang w:val="ro-RO" w:eastAsia="ru-RU"/>
              </w:rPr>
              <w:t>e la 01.01.2014</w:t>
            </w:r>
          </w:p>
        </w:tc>
        <w:tc>
          <w:tcPr>
            <w:tcW w:w="864"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113" w:right="113"/>
              <w:jc w:val="center"/>
              <w:rPr>
                <w:rFonts w:ascii="Times New Roman" w:hAnsi="Times New Roman"/>
                <w:b/>
                <w:sz w:val="18"/>
                <w:szCs w:val="18"/>
                <w:lang w:val="ro-RO" w:eastAsia="ru-RU"/>
              </w:rPr>
            </w:pPr>
            <w:r w:rsidRPr="00121F51">
              <w:rPr>
                <w:rFonts w:ascii="Times New Roman" w:hAnsi="Times New Roman"/>
                <w:b/>
                <w:sz w:val="18"/>
                <w:szCs w:val="18"/>
                <w:lang w:val="ro-RO" w:eastAsia="ru-RU"/>
              </w:rPr>
              <w:t>Venituri, 2014</w:t>
            </w:r>
          </w:p>
        </w:tc>
        <w:tc>
          <w:tcPr>
            <w:tcW w:w="864"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ind w:right="-108" w:hanging="108"/>
              <w:jc w:val="center"/>
              <w:rPr>
                <w:rFonts w:ascii="Times New Roman" w:hAnsi="Times New Roman"/>
                <w:b/>
                <w:sz w:val="18"/>
                <w:szCs w:val="18"/>
                <w:lang w:val="ro-RO" w:eastAsia="ru-RU"/>
              </w:rPr>
            </w:pPr>
            <w:r w:rsidRPr="00121F51">
              <w:rPr>
                <w:rFonts w:ascii="Times New Roman" w:hAnsi="Times New Roman"/>
                <w:b/>
                <w:sz w:val="18"/>
                <w:szCs w:val="18"/>
                <w:lang w:val="ro-RO" w:eastAsia="ru-RU"/>
              </w:rPr>
              <w:t>Ponderea, %</w:t>
            </w:r>
          </w:p>
        </w:tc>
        <w:tc>
          <w:tcPr>
            <w:tcW w:w="762"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93" w:right="-90" w:firstLine="20"/>
              <w:jc w:val="center"/>
              <w:rPr>
                <w:rFonts w:ascii="Times New Roman" w:hAnsi="Times New Roman"/>
                <w:b/>
                <w:sz w:val="18"/>
                <w:szCs w:val="18"/>
                <w:lang w:val="ro-RO" w:eastAsia="ru-RU"/>
              </w:rPr>
            </w:pPr>
            <w:r w:rsidRPr="00121F51">
              <w:rPr>
                <w:rFonts w:ascii="Times New Roman" w:hAnsi="Times New Roman"/>
                <w:b/>
                <w:sz w:val="18"/>
                <w:szCs w:val="18"/>
                <w:lang w:val="ro-RO" w:eastAsia="ru-RU"/>
              </w:rPr>
              <w:t>Restan</w:t>
            </w:r>
            <w:r w:rsidRPr="0098198B">
              <w:rPr>
                <w:rFonts w:ascii="Times New Roman" w:hAnsi="Times New Roman"/>
                <w:b/>
                <w:sz w:val="18"/>
                <w:szCs w:val="18"/>
                <w:lang w:val="ro-RO" w:eastAsia="ru-RU"/>
              </w:rPr>
              <w:t>ț</w:t>
            </w:r>
            <w:r w:rsidRPr="00121F51">
              <w:rPr>
                <w:rFonts w:ascii="Times New Roman" w:hAnsi="Times New Roman"/>
                <w:b/>
                <w:sz w:val="18"/>
                <w:szCs w:val="18"/>
                <w:lang w:val="ro-RO" w:eastAsia="ru-RU"/>
              </w:rPr>
              <w:t>e la 01.01.2015</w:t>
            </w:r>
          </w:p>
        </w:tc>
        <w:tc>
          <w:tcPr>
            <w:tcW w:w="864"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113" w:right="113"/>
              <w:jc w:val="center"/>
              <w:rPr>
                <w:rFonts w:ascii="Times New Roman" w:hAnsi="Times New Roman"/>
                <w:b/>
                <w:sz w:val="18"/>
                <w:szCs w:val="18"/>
                <w:lang w:val="ro-RO" w:eastAsia="ru-RU"/>
              </w:rPr>
            </w:pPr>
            <w:r w:rsidRPr="00121F51">
              <w:rPr>
                <w:rFonts w:ascii="Times New Roman" w:hAnsi="Times New Roman"/>
                <w:b/>
                <w:sz w:val="18"/>
                <w:szCs w:val="18"/>
                <w:lang w:val="ro-RO" w:eastAsia="ru-RU"/>
              </w:rPr>
              <w:t>Venituri, 2015</w:t>
            </w:r>
          </w:p>
        </w:tc>
        <w:tc>
          <w:tcPr>
            <w:tcW w:w="864"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ind w:right="-108" w:hanging="108"/>
              <w:jc w:val="center"/>
              <w:rPr>
                <w:rFonts w:ascii="Times New Roman" w:hAnsi="Times New Roman"/>
                <w:b/>
                <w:sz w:val="18"/>
                <w:szCs w:val="18"/>
                <w:lang w:val="ro-RO" w:eastAsia="ru-RU"/>
              </w:rPr>
            </w:pPr>
            <w:r w:rsidRPr="00121F51">
              <w:rPr>
                <w:rFonts w:ascii="Times New Roman" w:hAnsi="Times New Roman"/>
                <w:b/>
                <w:sz w:val="18"/>
                <w:szCs w:val="18"/>
                <w:lang w:val="ro-RO" w:eastAsia="ru-RU"/>
              </w:rPr>
              <w:t>Ponderea, %</w:t>
            </w:r>
          </w:p>
        </w:tc>
        <w:tc>
          <w:tcPr>
            <w:tcW w:w="580"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ind w:left="113" w:right="-78"/>
              <w:jc w:val="center"/>
              <w:rPr>
                <w:rFonts w:ascii="Times New Roman" w:hAnsi="Times New Roman"/>
                <w:b/>
                <w:sz w:val="18"/>
                <w:szCs w:val="18"/>
                <w:lang w:val="ro-RO" w:eastAsia="ru-RU"/>
              </w:rPr>
            </w:pPr>
            <w:r w:rsidRPr="00121F51">
              <w:rPr>
                <w:rFonts w:ascii="Times New Roman" w:hAnsi="Times New Roman"/>
                <w:b/>
                <w:sz w:val="18"/>
                <w:szCs w:val="18"/>
                <w:lang w:val="ro-RO" w:eastAsia="ru-RU"/>
              </w:rPr>
              <w:t>Restan</w:t>
            </w:r>
            <w:r w:rsidRPr="0098198B">
              <w:rPr>
                <w:rFonts w:ascii="Times New Roman" w:hAnsi="Times New Roman"/>
                <w:b/>
                <w:sz w:val="18"/>
                <w:szCs w:val="18"/>
                <w:lang w:val="ro-RO" w:eastAsia="ru-RU"/>
              </w:rPr>
              <w:t>ț</w:t>
            </w:r>
            <w:r w:rsidRPr="00121F51">
              <w:rPr>
                <w:rFonts w:ascii="Times New Roman" w:hAnsi="Times New Roman"/>
                <w:b/>
                <w:sz w:val="18"/>
                <w:szCs w:val="18"/>
                <w:lang w:val="ro-RO" w:eastAsia="ru-RU"/>
              </w:rPr>
              <w:t>e la 01.01.2016</w:t>
            </w:r>
          </w:p>
        </w:tc>
      </w:tr>
      <w:tr w:rsidR="00F24302" w:rsidRPr="00121F51" w:rsidTr="006B6AE0">
        <w:trPr>
          <w:jc w:val="center"/>
        </w:trPr>
        <w:tc>
          <w:tcPr>
            <w:tcW w:w="184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both"/>
              <w:rPr>
                <w:rFonts w:ascii="Times New Roman" w:hAnsi="Times New Roman"/>
                <w:sz w:val="18"/>
                <w:szCs w:val="18"/>
                <w:lang w:val="ro-RO" w:eastAsia="ru-RU"/>
              </w:rPr>
            </w:pPr>
            <w:r w:rsidRPr="00121F51">
              <w:rPr>
                <w:rFonts w:ascii="Times New Roman" w:hAnsi="Times New Roman"/>
                <w:sz w:val="18"/>
                <w:szCs w:val="18"/>
                <w:lang w:val="ro-RO" w:eastAsia="ru-RU"/>
              </w:rPr>
              <w:t>BS</w:t>
            </w:r>
          </w:p>
        </w:tc>
        <w:tc>
          <w:tcPr>
            <w:tcW w:w="8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8,0</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20,5</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16,2</w:t>
            </w:r>
          </w:p>
        </w:tc>
        <w:tc>
          <w:tcPr>
            <w:tcW w:w="80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6,1</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27,9</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18,2</w:t>
            </w:r>
          </w:p>
        </w:tc>
        <w:tc>
          <w:tcPr>
            <w:tcW w:w="76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5,1</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34,2</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22,4</w:t>
            </w:r>
          </w:p>
        </w:tc>
        <w:tc>
          <w:tcPr>
            <w:tcW w:w="58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96"/>
              <w:jc w:val="right"/>
              <w:rPr>
                <w:rFonts w:ascii="Times New Roman" w:hAnsi="Times New Roman"/>
                <w:sz w:val="18"/>
                <w:szCs w:val="18"/>
                <w:lang w:val="ro-RO" w:eastAsia="ru-RU"/>
              </w:rPr>
            </w:pPr>
            <w:r w:rsidRPr="00121F51">
              <w:rPr>
                <w:rFonts w:ascii="Times New Roman" w:hAnsi="Times New Roman"/>
                <w:sz w:val="18"/>
                <w:szCs w:val="18"/>
                <w:lang w:val="ro-RO" w:eastAsia="ru-RU"/>
              </w:rPr>
              <w:t>2,1</w:t>
            </w:r>
          </w:p>
        </w:tc>
      </w:tr>
      <w:tr w:rsidR="00F24302" w:rsidRPr="00121F51" w:rsidTr="006B6AE0">
        <w:trPr>
          <w:jc w:val="center"/>
        </w:trPr>
        <w:tc>
          <w:tcPr>
            <w:tcW w:w="184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both"/>
              <w:rPr>
                <w:rFonts w:ascii="Times New Roman" w:hAnsi="Times New Roman"/>
                <w:sz w:val="18"/>
                <w:szCs w:val="18"/>
                <w:lang w:val="ro-RO" w:eastAsia="ru-RU"/>
              </w:rPr>
            </w:pPr>
            <w:r w:rsidRPr="00121F51">
              <w:rPr>
                <w:rFonts w:ascii="Times New Roman" w:hAnsi="Times New Roman"/>
                <w:sz w:val="18"/>
                <w:szCs w:val="18"/>
                <w:lang w:val="ro-RO" w:eastAsia="ru-RU"/>
              </w:rPr>
              <w:t>BUAT</w:t>
            </w:r>
          </w:p>
        </w:tc>
        <w:tc>
          <w:tcPr>
            <w:tcW w:w="8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3,8</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35,9</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28,4</w:t>
            </w:r>
          </w:p>
        </w:tc>
        <w:tc>
          <w:tcPr>
            <w:tcW w:w="80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3,1</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41,8</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27,3</w:t>
            </w:r>
          </w:p>
        </w:tc>
        <w:tc>
          <w:tcPr>
            <w:tcW w:w="76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2,6</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27,8</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18,3</w:t>
            </w:r>
          </w:p>
        </w:tc>
        <w:tc>
          <w:tcPr>
            <w:tcW w:w="58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96"/>
              <w:jc w:val="right"/>
              <w:rPr>
                <w:rFonts w:ascii="Times New Roman" w:hAnsi="Times New Roman"/>
                <w:sz w:val="18"/>
                <w:szCs w:val="18"/>
                <w:lang w:val="ro-RO" w:eastAsia="ru-RU"/>
              </w:rPr>
            </w:pPr>
            <w:r w:rsidRPr="00121F51">
              <w:rPr>
                <w:rFonts w:ascii="Times New Roman" w:hAnsi="Times New Roman"/>
                <w:sz w:val="18"/>
                <w:szCs w:val="18"/>
                <w:lang w:val="ro-RO" w:eastAsia="ru-RU"/>
              </w:rPr>
              <w:t>2,0</w:t>
            </w:r>
          </w:p>
        </w:tc>
      </w:tr>
      <w:tr w:rsidR="00F24302" w:rsidRPr="00121F51" w:rsidTr="006B6AE0">
        <w:trPr>
          <w:jc w:val="center"/>
        </w:trPr>
        <w:tc>
          <w:tcPr>
            <w:tcW w:w="184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both"/>
              <w:rPr>
                <w:rFonts w:ascii="Times New Roman" w:hAnsi="Times New Roman"/>
                <w:sz w:val="18"/>
                <w:szCs w:val="18"/>
                <w:lang w:val="ro-RO" w:eastAsia="ru-RU"/>
              </w:rPr>
            </w:pPr>
            <w:r w:rsidRPr="00121F51">
              <w:rPr>
                <w:rFonts w:ascii="Times New Roman" w:hAnsi="Times New Roman"/>
                <w:sz w:val="18"/>
                <w:szCs w:val="18"/>
                <w:lang w:val="ro-RO" w:eastAsia="ru-RU"/>
              </w:rPr>
              <w:t>BASS</w:t>
            </w:r>
          </w:p>
        </w:tc>
        <w:tc>
          <w:tcPr>
            <w:tcW w:w="8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11,3</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55,4</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43,9</w:t>
            </w:r>
          </w:p>
        </w:tc>
        <w:tc>
          <w:tcPr>
            <w:tcW w:w="80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10,7</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64,6</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42,2</w:t>
            </w:r>
          </w:p>
        </w:tc>
        <w:tc>
          <w:tcPr>
            <w:tcW w:w="76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8,0</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69,1</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45,3</w:t>
            </w:r>
          </w:p>
        </w:tc>
        <w:tc>
          <w:tcPr>
            <w:tcW w:w="58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96"/>
              <w:jc w:val="right"/>
              <w:rPr>
                <w:rFonts w:ascii="Times New Roman" w:hAnsi="Times New Roman"/>
                <w:sz w:val="18"/>
                <w:szCs w:val="18"/>
                <w:lang w:val="ro-RO" w:eastAsia="ru-RU"/>
              </w:rPr>
            </w:pPr>
            <w:r w:rsidRPr="00121F51">
              <w:rPr>
                <w:rFonts w:ascii="Times New Roman" w:hAnsi="Times New Roman"/>
                <w:sz w:val="18"/>
                <w:szCs w:val="18"/>
                <w:lang w:val="ro-RO" w:eastAsia="ru-RU"/>
              </w:rPr>
              <w:t>1,3</w:t>
            </w:r>
          </w:p>
        </w:tc>
      </w:tr>
      <w:tr w:rsidR="00F24302" w:rsidRPr="00121F51" w:rsidTr="006B6AE0">
        <w:trPr>
          <w:jc w:val="center"/>
        </w:trPr>
        <w:tc>
          <w:tcPr>
            <w:tcW w:w="184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both"/>
              <w:rPr>
                <w:rFonts w:ascii="Times New Roman" w:hAnsi="Times New Roman"/>
                <w:sz w:val="18"/>
                <w:szCs w:val="18"/>
                <w:lang w:val="ro-RO" w:eastAsia="ru-RU"/>
              </w:rPr>
            </w:pPr>
            <w:r w:rsidRPr="00121F51">
              <w:rPr>
                <w:rFonts w:ascii="Times New Roman" w:hAnsi="Times New Roman"/>
                <w:sz w:val="18"/>
                <w:szCs w:val="18"/>
                <w:lang w:val="ro-RO" w:eastAsia="ru-RU"/>
              </w:rPr>
              <w:t>FAOAM</w:t>
            </w:r>
          </w:p>
        </w:tc>
        <w:tc>
          <w:tcPr>
            <w:tcW w:w="8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0,6</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14,5</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11,5</w:t>
            </w:r>
          </w:p>
        </w:tc>
        <w:tc>
          <w:tcPr>
            <w:tcW w:w="80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0,6</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18,8</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12,3</w:t>
            </w:r>
          </w:p>
        </w:tc>
        <w:tc>
          <w:tcPr>
            <w:tcW w:w="76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0,2</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21,4</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sz w:val="18"/>
                <w:szCs w:val="18"/>
                <w:lang w:val="ro-RO" w:eastAsia="ru-RU"/>
              </w:rPr>
            </w:pPr>
            <w:r w:rsidRPr="00121F51">
              <w:rPr>
                <w:rFonts w:ascii="Times New Roman" w:hAnsi="Times New Roman"/>
                <w:sz w:val="18"/>
                <w:szCs w:val="18"/>
                <w:lang w:val="ro-RO" w:eastAsia="ru-RU"/>
              </w:rPr>
              <w:t>14,0</w:t>
            </w:r>
          </w:p>
        </w:tc>
        <w:tc>
          <w:tcPr>
            <w:tcW w:w="58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96"/>
              <w:jc w:val="right"/>
              <w:rPr>
                <w:rFonts w:ascii="Times New Roman" w:hAnsi="Times New Roman"/>
                <w:sz w:val="18"/>
                <w:szCs w:val="18"/>
                <w:lang w:val="ro-RO" w:eastAsia="ru-RU"/>
              </w:rPr>
            </w:pPr>
            <w:r w:rsidRPr="00121F51">
              <w:rPr>
                <w:rFonts w:ascii="Times New Roman" w:hAnsi="Times New Roman"/>
                <w:sz w:val="18"/>
                <w:szCs w:val="18"/>
                <w:lang w:val="ro-RO" w:eastAsia="ru-RU"/>
              </w:rPr>
              <w:t>0,2</w:t>
            </w:r>
          </w:p>
        </w:tc>
      </w:tr>
      <w:tr w:rsidR="00F24302" w:rsidRPr="00121F51" w:rsidTr="006B6AE0">
        <w:trPr>
          <w:jc w:val="center"/>
        </w:trPr>
        <w:tc>
          <w:tcPr>
            <w:tcW w:w="184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both"/>
              <w:rPr>
                <w:rFonts w:ascii="Times New Roman" w:hAnsi="Times New Roman"/>
                <w:b/>
                <w:sz w:val="18"/>
                <w:szCs w:val="18"/>
                <w:lang w:val="ro-RO" w:eastAsia="ru-RU"/>
              </w:rPr>
            </w:pPr>
            <w:r w:rsidRPr="00121F51">
              <w:rPr>
                <w:rFonts w:ascii="Times New Roman" w:hAnsi="Times New Roman"/>
                <w:b/>
                <w:sz w:val="18"/>
                <w:szCs w:val="18"/>
                <w:lang w:val="ro-RO" w:eastAsia="ru-RU"/>
              </w:rPr>
              <w:t>Total</w:t>
            </w:r>
          </w:p>
        </w:tc>
        <w:tc>
          <w:tcPr>
            <w:tcW w:w="8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b/>
                <w:sz w:val="18"/>
                <w:szCs w:val="18"/>
                <w:lang w:val="ro-RO" w:eastAsia="ru-RU"/>
              </w:rPr>
            </w:pPr>
            <w:r w:rsidRPr="00121F51">
              <w:rPr>
                <w:rFonts w:ascii="Times New Roman" w:hAnsi="Times New Roman"/>
                <w:b/>
                <w:sz w:val="18"/>
                <w:szCs w:val="18"/>
                <w:lang w:val="ro-RO" w:eastAsia="ru-RU"/>
              </w:rPr>
              <w:t>23,7</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b/>
                <w:sz w:val="18"/>
                <w:szCs w:val="18"/>
                <w:lang w:val="ro-RO" w:eastAsia="ru-RU"/>
              </w:rPr>
            </w:pPr>
            <w:r w:rsidRPr="00121F51">
              <w:rPr>
                <w:rFonts w:ascii="Times New Roman" w:hAnsi="Times New Roman"/>
                <w:b/>
                <w:sz w:val="18"/>
                <w:szCs w:val="18"/>
                <w:lang w:val="ro-RO" w:eastAsia="ru-RU"/>
              </w:rPr>
              <w:t>126,3</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b/>
                <w:sz w:val="18"/>
                <w:szCs w:val="18"/>
                <w:lang w:val="ro-RO" w:eastAsia="ru-RU"/>
              </w:rPr>
            </w:pPr>
            <w:r w:rsidRPr="00121F51">
              <w:rPr>
                <w:rFonts w:ascii="Times New Roman" w:hAnsi="Times New Roman"/>
                <w:b/>
                <w:sz w:val="18"/>
                <w:szCs w:val="18"/>
                <w:lang w:val="ro-RO" w:eastAsia="ru-RU"/>
              </w:rPr>
              <w:t>100</w:t>
            </w:r>
          </w:p>
        </w:tc>
        <w:tc>
          <w:tcPr>
            <w:tcW w:w="80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b/>
                <w:sz w:val="18"/>
                <w:szCs w:val="18"/>
                <w:lang w:val="ro-RO" w:eastAsia="ru-RU"/>
              </w:rPr>
            </w:pPr>
            <w:r w:rsidRPr="00121F51">
              <w:rPr>
                <w:rFonts w:ascii="Times New Roman" w:hAnsi="Times New Roman"/>
                <w:b/>
                <w:sz w:val="18"/>
                <w:szCs w:val="18"/>
                <w:lang w:val="ro-RO" w:eastAsia="ru-RU"/>
              </w:rPr>
              <w:t>20,5</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b/>
                <w:sz w:val="18"/>
                <w:szCs w:val="18"/>
                <w:lang w:val="ro-RO" w:eastAsia="ru-RU"/>
              </w:rPr>
            </w:pPr>
            <w:r w:rsidRPr="00121F51">
              <w:rPr>
                <w:rFonts w:ascii="Times New Roman" w:hAnsi="Times New Roman"/>
                <w:b/>
                <w:sz w:val="18"/>
                <w:szCs w:val="18"/>
                <w:lang w:val="ro-RO" w:eastAsia="ru-RU"/>
              </w:rPr>
              <w:t>153,1</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b/>
                <w:sz w:val="18"/>
                <w:szCs w:val="18"/>
                <w:lang w:val="ro-RO" w:eastAsia="ru-RU"/>
              </w:rPr>
            </w:pPr>
            <w:r w:rsidRPr="00121F51">
              <w:rPr>
                <w:rFonts w:ascii="Times New Roman" w:hAnsi="Times New Roman"/>
                <w:b/>
                <w:sz w:val="18"/>
                <w:szCs w:val="18"/>
                <w:lang w:val="ro-RO" w:eastAsia="ru-RU"/>
              </w:rPr>
              <w:t>100</w:t>
            </w:r>
          </w:p>
        </w:tc>
        <w:tc>
          <w:tcPr>
            <w:tcW w:w="76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b/>
                <w:sz w:val="18"/>
                <w:szCs w:val="18"/>
                <w:lang w:val="ro-RO" w:eastAsia="ru-RU"/>
              </w:rPr>
            </w:pPr>
            <w:r w:rsidRPr="00121F51">
              <w:rPr>
                <w:rFonts w:ascii="Times New Roman" w:hAnsi="Times New Roman"/>
                <w:b/>
                <w:sz w:val="18"/>
                <w:szCs w:val="18"/>
                <w:lang w:val="ro-RO" w:eastAsia="ru-RU"/>
              </w:rPr>
              <w:t>15,9</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b/>
                <w:sz w:val="18"/>
                <w:szCs w:val="18"/>
                <w:lang w:val="ro-RO" w:eastAsia="ru-RU"/>
              </w:rPr>
            </w:pPr>
            <w:r w:rsidRPr="00121F51">
              <w:rPr>
                <w:rFonts w:ascii="Times New Roman" w:hAnsi="Times New Roman"/>
                <w:b/>
                <w:sz w:val="18"/>
                <w:szCs w:val="18"/>
                <w:lang w:val="ro-RO" w:eastAsia="ru-RU"/>
              </w:rPr>
              <w:t>152,5</w:t>
            </w:r>
          </w:p>
        </w:tc>
        <w:tc>
          <w:tcPr>
            <w:tcW w:w="86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right"/>
              <w:rPr>
                <w:rFonts w:ascii="Times New Roman" w:hAnsi="Times New Roman"/>
                <w:b/>
                <w:sz w:val="18"/>
                <w:szCs w:val="18"/>
                <w:lang w:val="ro-RO" w:eastAsia="ru-RU"/>
              </w:rPr>
            </w:pPr>
            <w:r w:rsidRPr="00121F51">
              <w:rPr>
                <w:rFonts w:ascii="Times New Roman" w:hAnsi="Times New Roman"/>
                <w:b/>
                <w:sz w:val="18"/>
                <w:szCs w:val="18"/>
                <w:lang w:val="ro-RO" w:eastAsia="ru-RU"/>
              </w:rPr>
              <w:t>100</w:t>
            </w:r>
          </w:p>
        </w:tc>
        <w:tc>
          <w:tcPr>
            <w:tcW w:w="58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ind w:left="-96"/>
              <w:jc w:val="right"/>
              <w:rPr>
                <w:rFonts w:ascii="Times New Roman" w:hAnsi="Times New Roman"/>
                <w:b/>
                <w:sz w:val="18"/>
                <w:szCs w:val="18"/>
                <w:lang w:val="ro-RO" w:eastAsia="ru-RU"/>
              </w:rPr>
            </w:pPr>
            <w:r w:rsidRPr="00121F51">
              <w:rPr>
                <w:rFonts w:ascii="Times New Roman" w:hAnsi="Times New Roman"/>
                <w:b/>
                <w:sz w:val="18"/>
                <w:szCs w:val="18"/>
                <w:lang w:val="ro-RO" w:eastAsia="ru-RU"/>
              </w:rPr>
              <w:t>5,6</w:t>
            </w:r>
          </w:p>
        </w:tc>
      </w:tr>
    </w:tbl>
    <w:p w:rsidR="00F24302" w:rsidRPr="00D25F6D" w:rsidRDefault="00F24302" w:rsidP="00F24302">
      <w:pPr>
        <w:pStyle w:val="cb"/>
        <w:spacing w:after="120"/>
        <w:jc w:val="both"/>
        <w:rPr>
          <w:b w:val="0"/>
          <w:sz w:val="16"/>
          <w:szCs w:val="16"/>
          <w:lang w:val="ro-RO"/>
        </w:rPr>
      </w:pPr>
      <w:r w:rsidRPr="00D25F6D">
        <w:rPr>
          <w:i/>
          <w:iCs/>
          <w:sz w:val="16"/>
          <w:szCs w:val="16"/>
          <w:lang w:val="ro-RO"/>
        </w:rPr>
        <w:t>Sursă</w:t>
      </w:r>
      <w:r w:rsidRPr="00D25F6D">
        <w:rPr>
          <w:b w:val="0"/>
          <w:i/>
          <w:iCs/>
          <w:sz w:val="16"/>
          <w:szCs w:val="16"/>
          <w:lang w:val="ro-RO"/>
        </w:rPr>
        <w:t>:</w:t>
      </w:r>
      <w:r w:rsidRPr="00D25F6D">
        <w:rPr>
          <w:b w:val="0"/>
          <w:i/>
          <w:sz w:val="16"/>
          <w:szCs w:val="16"/>
          <w:lang w:val="ro-RO"/>
        </w:rPr>
        <w:t xml:space="preserve"> Dările de seamă </w:t>
      </w:r>
      <w:r w:rsidRPr="00D25F6D">
        <w:rPr>
          <w:b w:val="0"/>
          <w:i/>
          <w:iCs/>
          <w:sz w:val="16"/>
          <w:szCs w:val="16"/>
          <w:lang w:val="ro-RO"/>
        </w:rPr>
        <w:t>privind încasările la bugetul public na</w:t>
      </w:r>
      <w:r w:rsidRPr="0098198B">
        <w:rPr>
          <w:b w:val="0"/>
          <w:i/>
          <w:iCs/>
          <w:sz w:val="16"/>
          <w:szCs w:val="16"/>
          <w:lang w:val="ro-RO"/>
        </w:rPr>
        <w:t>ț</w:t>
      </w:r>
      <w:r w:rsidRPr="00D25F6D">
        <w:rPr>
          <w:b w:val="0"/>
          <w:i/>
          <w:iCs/>
          <w:sz w:val="16"/>
          <w:szCs w:val="16"/>
          <w:lang w:val="ro-RO"/>
        </w:rPr>
        <w:t>ional corespunzător clasifica</w:t>
      </w:r>
      <w:r w:rsidRPr="0098198B">
        <w:rPr>
          <w:b w:val="0"/>
          <w:i/>
          <w:iCs/>
          <w:sz w:val="16"/>
          <w:szCs w:val="16"/>
          <w:lang w:val="ro-RO"/>
        </w:rPr>
        <w:t>ț</w:t>
      </w:r>
      <w:r w:rsidRPr="00D25F6D">
        <w:rPr>
          <w:b w:val="0"/>
          <w:i/>
          <w:iCs/>
          <w:sz w:val="16"/>
          <w:szCs w:val="16"/>
          <w:lang w:val="ro-RO"/>
        </w:rPr>
        <w:t xml:space="preserve">iei veniturilor bugetare pentru  anii  2013, 2014 </w:t>
      </w:r>
      <w:r w:rsidRPr="0098198B">
        <w:rPr>
          <w:b w:val="0"/>
          <w:i/>
          <w:iCs/>
          <w:sz w:val="16"/>
          <w:szCs w:val="16"/>
          <w:lang w:val="ro-RO"/>
        </w:rPr>
        <w:t>ș</w:t>
      </w:r>
      <w:r w:rsidRPr="00D25F6D">
        <w:rPr>
          <w:b w:val="0"/>
          <w:i/>
          <w:iCs/>
          <w:sz w:val="16"/>
          <w:szCs w:val="16"/>
          <w:lang w:val="ro-RO"/>
        </w:rPr>
        <w:t xml:space="preserve">i, respectiv, 2015; Dările de seamă </w:t>
      </w:r>
      <w:r w:rsidRPr="00D25F6D">
        <w:rPr>
          <w:b w:val="0"/>
          <w:i/>
          <w:sz w:val="16"/>
          <w:szCs w:val="16"/>
          <w:lang w:val="ro-RO"/>
        </w:rPr>
        <w:t>privind restan</w:t>
      </w:r>
      <w:r w:rsidRPr="0098198B">
        <w:rPr>
          <w:b w:val="0"/>
          <w:i/>
          <w:sz w:val="16"/>
          <w:szCs w:val="16"/>
          <w:lang w:val="ro-RO"/>
        </w:rPr>
        <w:t>ț</w:t>
      </w:r>
      <w:r w:rsidRPr="00D25F6D">
        <w:rPr>
          <w:b w:val="0"/>
          <w:i/>
          <w:sz w:val="16"/>
          <w:szCs w:val="16"/>
          <w:lang w:val="ro-RO"/>
        </w:rPr>
        <w:t>a fa</w:t>
      </w:r>
      <w:r w:rsidRPr="0098198B">
        <w:rPr>
          <w:b w:val="0"/>
          <w:i/>
          <w:sz w:val="16"/>
          <w:szCs w:val="16"/>
          <w:lang w:val="ro-RO"/>
        </w:rPr>
        <w:t>ț</w:t>
      </w:r>
      <w:r w:rsidRPr="00D25F6D">
        <w:rPr>
          <w:b w:val="0"/>
          <w:i/>
          <w:sz w:val="16"/>
          <w:szCs w:val="16"/>
          <w:lang w:val="ro-RO"/>
        </w:rPr>
        <w:t>ă de bugetul public na</w:t>
      </w:r>
      <w:r w:rsidRPr="0098198B">
        <w:rPr>
          <w:b w:val="0"/>
          <w:i/>
          <w:sz w:val="16"/>
          <w:szCs w:val="16"/>
          <w:lang w:val="ro-RO"/>
        </w:rPr>
        <w:t>ț</w:t>
      </w:r>
      <w:r w:rsidRPr="00D25F6D">
        <w:rPr>
          <w:b w:val="0"/>
          <w:i/>
          <w:sz w:val="16"/>
          <w:szCs w:val="16"/>
          <w:lang w:val="ro-RO"/>
        </w:rPr>
        <w:t>ional corespunzător clasifica</w:t>
      </w:r>
      <w:r w:rsidRPr="0098198B">
        <w:rPr>
          <w:b w:val="0"/>
          <w:i/>
          <w:sz w:val="16"/>
          <w:szCs w:val="16"/>
          <w:lang w:val="ro-RO"/>
        </w:rPr>
        <w:t>ț</w:t>
      </w:r>
      <w:r w:rsidRPr="00D25F6D">
        <w:rPr>
          <w:b w:val="0"/>
          <w:i/>
          <w:sz w:val="16"/>
          <w:szCs w:val="16"/>
          <w:lang w:val="ro-RO"/>
        </w:rPr>
        <w:t>iei veniturilor bugetare la situa</w:t>
      </w:r>
      <w:r w:rsidRPr="0098198B">
        <w:rPr>
          <w:b w:val="0"/>
          <w:i/>
          <w:sz w:val="16"/>
          <w:szCs w:val="16"/>
          <w:lang w:val="ro-RO"/>
        </w:rPr>
        <w:t>ț</w:t>
      </w:r>
      <w:r w:rsidRPr="00D25F6D">
        <w:rPr>
          <w:b w:val="0"/>
          <w:i/>
          <w:sz w:val="16"/>
          <w:szCs w:val="16"/>
          <w:lang w:val="ro-RO"/>
        </w:rPr>
        <w:t xml:space="preserve">iile din 31.12.2012, 31.12.2013,31.12.2014 </w:t>
      </w:r>
      <w:r w:rsidRPr="0098198B">
        <w:rPr>
          <w:b w:val="0"/>
          <w:i/>
          <w:iCs/>
          <w:sz w:val="16"/>
          <w:szCs w:val="16"/>
          <w:lang w:val="ro-RO"/>
        </w:rPr>
        <w:t>ș</w:t>
      </w:r>
      <w:r w:rsidRPr="00D25F6D">
        <w:rPr>
          <w:b w:val="0"/>
          <w:i/>
          <w:iCs/>
          <w:sz w:val="16"/>
          <w:szCs w:val="16"/>
          <w:lang w:val="ro-RO"/>
        </w:rPr>
        <w:t xml:space="preserve">i, respectiv, </w:t>
      </w:r>
      <w:r w:rsidRPr="00D25F6D">
        <w:rPr>
          <w:b w:val="0"/>
          <w:i/>
          <w:sz w:val="16"/>
          <w:szCs w:val="16"/>
          <w:lang w:val="ro-RO"/>
        </w:rPr>
        <w:t>31.12.2015.</w:t>
      </w:r>
    </w:p>
    <w:p w:rsidR="00F24302" w:rsidRPr="00121F51" w:rsidRDefault="00F24302" w:rsidP="00F24302">
      <w:pPr>
        <w:spacing w:after="0" w:line="240" w:lineRule="auto"/>
        <w:ind w:firstLine="567"/>
        <w:jc w:val="both"/>
        <w:rPr>
          <w:rFonts w:ascii="Times New Roman" w:hAnsi="Times New Roman"/>
          <w:i/>
          <w:sz w:val="20"/>
          <w:szCs w:val="20"/>
          <w:lang w:val="ro-RO" w:eastAsia="ru-RU"/>
        </w:rPr>
      </w:pPr>
    </w:p>
    <w:p w:rsidR="00F24302" w:rsidRDefault="00F24302" w:rsidP="00F24302">
      <w:pPr>
        <w:spacing w:after="0" w:line="240" w:lineRule="auto"/>
        <w:ind w:firstLine="567"/>
        <w:jc w:val="right"/>
        <w:rPr>
          <w:rFonts w:ascii="Times New Roman" w:eastAsia="Times New Roman" w:hAnsi="Times New Roman"/>
          <w:b/>
          <w:sz w:val="24"/>
          <w:szCs w:val="24"/>
          <w:lang w:val="ro-RO" w:eastAsia="ru-RU"/>
        </w:rPr>
      </w:pPr>
    </w:p>
    <w:p w:rsidR="00F24302" w:rsidRPr="00121F51" w:rsidRDefault="00F24302" w:rsidP="00F24302">
      <w:pPr>
        <w:spacing w:after="0" w:line="240" w:lineRule="auto"/>
        <w:ind w:firstLine="567"/>
        <w:jc w:val="right"/>
        <w:rPr>
          <w:rFonts w:ascii="Times New Roman" w:eastAsia="Times New Roman" w:hAnsi="Times New Roman"/>
          <w:b/>
          <w:sz w:val="24"/>
          <w:szCs w:val="24"/>
          <w:lang w:val="ro-RO" w:eastAsia="ru-RU"/>
        </w:rPr>
      </w:pPr>
      <w:r w:rsidRPr="00121F51">
        <w:rPr>
          <w:rFonts w:ascii="Times New Roman" w:eastAsia="Times New Roman" w:hAnsi="Times New Roman"/>
          <w:b/>
          <w:sz w:val="24"/>
          <w:szCs w:val="24"/>
          <w:lang w:val="ro-RO" w:eastAsia="ru-RU"/>
        </w:rPr>
        <w:t>Anexa nr.3</w:t>
      </w:r>
    </w:p>
    <w:p w:rsidR="00F24302" w:rsidRPr="00121F51" w:rsidRDefault="00F24302" w:rsidP="00F24302">
      <w:pPr>
        <w:spacing w:after="0" w:line="240" w:lineRule="auto"/>
        <w:ind w:firstLine="567"/>
        <w:jc w:val="right"/>
        <w:rPr>
          <w:rFonts w:ascii="Times New Roman" w:hAnsi="Times New Roman"/>
          <w:b/>
          <w:bCs/>
          <w:sz w:val="28"/>
          <w:szCs w:val="28"/>
          <w:lang w:val="ro-RO"/>
        </w:rPr>
      </w:pPr>
    </w:p>
    <w:p w:rsidR="00F24302" w:rsidRPr="00860FD1" w:rsidRDefault="00F24302" w:rsidP="00F24302">
      <w:pPr>
        <w:widowControl w:val="0"/>
        <w:tabs>
          <w:tab w:val="left" w:pos="0"/>
        </w:tabs>
        <w:suppressAutoHyphens/>
        <w:autoSpaceDN w:val="0"/>
        <w:spacing w:after="0" w:line="240" w:lineRule="auto"/>
        <w:ind w:firstLine="709"/>
        <w:jc w:val="center"/>
        <w:textAlignment w:val="baseline"/>
        <w:rPr>
          <w:rFonts w:ascii="Times New Roman" w:eastAsia="Nimbus Sans L" w:hAnsi="Times New Roman"/>
          <w:b/>
          <w:color w:val="00000A"/>
          <w:kern w:val="3"/>
          <w:sz w:val="24"/>
          <w:szCs w:val="24"/>
          <w:lang w:val="ro-RO" w:eastAsia="zh-CN" w:bidi="hi-IN"/>
        </w:rPr>
      </w:pPr>
      <w:r w:rsidRPr="00860FD1">
        <w:rPr>
          <w:rFonts w:ascii="Times New Roman" w:eastAsia="Nimbus Sans L" w:hAnsi="Times New Roman"/>
          <w:b/>
          <w:color w:val="00000A"/>
          <w:kern w:val="3"/>
          <w:sz w:val="24"/>
          <w:szCs w:val="24"/>
          <w:lang w:val="ro-RO" w:eastAsia="zh-CN" w:bidi="hi-IN"/>
        </w:rPr>
        <w:t>METODOLOGIA ŞI DOMENIUL DE APLICARE A AUDITULUI</w:t>
      </w:r>
    </w:p>
    <w:p w:rsidR="00F24302" w:rsidRPr="00860FD1" w:rsidRDefault="00F24302" w:rsidP="00F24302">
      <w:pPr>
        <w:spacing w:after="0" w:line="240" w:lineRule="auto"/>
        <w:ind w:firstLine="567"/>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t> </w:t>
      </w:r>
    </w:p>
    <w:p w:rsidR="00F24302" w:rsidRPr="00860FD1" w:rsidRDefault="00F24302" w:rsidP="00F24302">
      <w:pPr>
        <w:spacing w:after="0" w:line="240" w:lineRule="auto"/>
        <w:ind w:firstLine="567"/>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t>Auditul bugetelor UAT a fost efectuat în conformitate cu Standardele de audit aplicabile de Curtea de Conturi, bazîndu-se pe o abordare orientată spre evaluarea conformității execuției bugetare, cu aplicarea unor proceduri caracteristice atît auditului regularității, cît și auditului performanței.</w:t>
      </w:r>
    </w:p>
    <w:p w:rsidR="00F24302" w:rsidRPr="00860FD1" w:rsidRDefault="00F24302" w:rsidP="00F24302">
      <w:pPr>
        <w:spacing w:after="0" w:line="240" w:lineRule="auto"/>
        <w:ind w:firstLine="567"/>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t>Pentru a ghida activitatea de audit, au fost elaborate două obiective de audit, care cuprind aspectele principale ale procesului și exercițiului bugetar în cadrul UAT. Astfel, au fost obținute probe suficiente și adecvate în scopul furnizării unei baze rezonabile pentru constatările și concluziile determinate de obiectivele auditului.</w:t>
      </w:r>
    </w:p>
    <w:p w:rsidR="00F24302" w:rsidRPr="00860FD1" w:rsidRDefault="00F24302" w:rsidP="00F24302">
      <w:pPr>
        <w:spacing w:after="0" w:line="240" w:lineRule="auto"/>
        <w:ind w:firstLine="567"/>
        <w:jc w:val="both"/>
        <w:rPr>
          <w:rFonts w:ascii="Times New Roman" w:hAnsi="Times New Roman"/>
          <w:bCs/>
          <w:i/>
          <w:sz w:val="24"/>
          <w:szCs w:val="24"/>
          <w:u w:val="single"/>
          <w:lang w:val="ro-RO"/>
        </w:rPr>
      </w:pPr>
      <w:r w:rsidRPr="00860FD1">
        <w:rPr>
          <w:rFonts w:ascii="Times New Roman" w:eastAsia="Times New Roman" w:hAnsi="Times New Roman"/>
          <w:bCs/>
          <w:sz w:val="24"/>
          <w:szCs w:val="24"/>
          <w:u w:val="single"/>
          <w:lang w:val="ro-RO"/>
        </w:rPr>
        <w:t>Obiectivul I:</w:t>
      </w:r>
      <w:r w:rsidRPr="00860FD1">
        <w:rPr>
          <w:rFonts w:ascii="Times New Roman" w:hAnsi="Times New Roman"/>
          <w:bCs/>
          <w:i/>
          <w:sz w:val="24"/>
          <w:szCs w:val="24"/>
          <w:u w:val="single"/>
          <w:lang w:val="ro-RO"/>
        </w:rPr>
        <w:t xml:space="preserve"> Au identificat, evaluat și colectat UAT veniturile bugetare în conformitate cu cadrul legal în vigoare, inclusiv cu Legea privind finanțele publice locale?</w:t>
      </w:r>
    </w:p>
    <w:p w:rsidR="00F24302" w:rsidRPr="00860FD1" w:rsidRDefault="00F24302" w:rsidP="00F24302">
      <w:pPr>
        <w:spacing w:after="0" w:line="240" w:lineRule="auto"/>
        <w:ind w:firstLine="567"/>
        <w:jc w:val="both"/>
        <w:rPr>
          <w:rFonts w:ascii="Times New Roman" w:eastAsia="Times New Roman" w:hAnsi="Times New Roman"/>
          <w:sz w:val="24"/>
          <w:szCs w:val="24"/>
          <w:u w:val="single"/>
          <w:lang w:val="ro-RO"/>
        </w:rPr>
      </w:pPr>
      <w:r w:rsidRPr="00860FD1">
        <w:rPr>
          <w:rFonts w:ascii="Times New Roman" w:eastAsia="Times New Roman" w:hAnsi="Times New Roman"/>
          <w:bCs/>
          <w:sz w:val="24"/>
          <w:szCs w:val="24"/>
          <w:u w:val="single"/>
          <w:lang w:val="ro-RO"/>
        </w:rPr>
        <w:t>Obiectivul II:</w:t>
      </w:r>
      <w:r w:rsidRPr="00860FD1">
        <w:rPr>
          <w:rFonts w:ascii="Times New Roman" w:eastAsia="Nimbus Sans L" w:hAnsi="Times New Roman"/>
          <w:bCs/>
          <w:i/>
          <w:iCs/>
          <w:kern w:val="3"/>
          <w:sz w:val="24"/>
          <w:szCs w:val="24"/>
          <w:u w:val="single"/>
          <w:lang w:val="ro-RO" w:eastAsia="zh-CN" w:bidi="hi-IN"/>
        </w:rPr>
        <w:t xml:space="preserve"> Au justificat AAPL angajarea și gestiunea cheltuielilor potrivit cadrului regulator și principiului de cost-eficiență?</w:t>
      </w:r>
    </w:p>
    <w:p w:rsidR="00F24302" w:rsidRPr="00860FD1" w:rsidRDefault="00F24302" w:rsidP="00F24302">
      <w:pPr>
        <w:spacing w:after="0" w:line="240" w:lineRule="auto"/>
        <w:ind w:firstLine="567"/>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t xml:space="preserve">Reieșind din semnificația problemelor identificate și din riscurile determinate la etapa de planificare, au fost selectate pentru auditare: Aparatul președintelui raionului; DF; DE; DASPF; </w:t>
      </w:r>
      <w:r w:rsidRPr="00860FD1">
        <w:rPr>
          <w:rFonts w:ascii="Times New Roman" w:hAnsi="Times New Roman"/>
          <w:sz w:val="24"/>
          <w:szCs w:val="24"/>
          <w:lang w:val="ro-RO"/>
        </w:rPr>
        <w:t>SC</w:t>
      </w:r>
      <w:r w:rsidRPr="00860FD1">
        <w:rPr>
          <w:rFonts w:ascii="Times New Roman" w:eastAsia="Times New Roman" w:hAnsi="Times New Roman"/>
          <w:sz w:val="24"/>
          <w:szCs w:val="24"/>
          <w:lang w:val="ro-RO"/>
        </w:rPr>
        <w:t>, primăriile or. Sîngerei, or. Biruința, satelor și comunelor: Alexandreni, Chișcăreni, Coșcodeni, Cubolta, Drăgănești, Sîngereii Noi, Rădoaia. De asemenea, unele probe de audit au fost acumulate la: 19 AAPL din cadrul UAT din raionul Sîngerei; 4 instituții de învățămînt; IFS Sîngerei și OCT Sîngerei.</w:t>
      </w:r>
    </w:p>
    <w:p w:rsidR="00F24302" w:rsidRPr="00860FD1" w:rsidRDefault="00F24302" w:rsidP="00F24302">
      <w:pPr>
        <w:spacing w:after="0" w:line="240" w:lineRule="auto"/>
        <w:ind w:firstLine="567"/>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t xml:space="preserve">Pentru realizarea obiectivelor auditului și colectarea probelor de audit, au fost efectuate următoarele proceduri de audit: </w:t>
      </w:r>
    </w:p>
    <w:p w:rsidR="00F24302" w:rsidRPr="00860FD1" w:rsidRDefault="00F24302" w:rsidP="00F24302">
      <w:pPr>
        <w:spacing w:after="0" w:line="240" w:lineRule="auto"/>
        <w:ind w:firstLine="567"/>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t xml:space="preserve">▪ au fost analizate deciziile organelor deliberative și executive (CR; președintele raionului; UAT de nivelul I) în vederea stabilirii nivelului de executare al acestora; </w:t>
      </w:r>
    </w:p>
    <w:p w:rsidR="00F24302" w:rsidRPr="00860FD1" w:rsidRDefault="00F24302" w:rsidP="00F24302">
      <w:pPr>
        <w:spacing w:after="0" w:line="240" w:lineRule="auto"/>
        <w:ind w:firstLine="567"/>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t>▪ a fost verificat dacă veniturile pasibile încasării în bugetul UAT au fost planificate și încasate regulamentar;</w:t>
      </w:r>
    </w:p>
    <w:p w:rsidR="00F24302" w:rsidRPr="00860FD1" w:rsidRDefault="00F24302" w:rsidP="00F24302">
      <w:pPr>
        <w:spacing w:after="0" w:line="240" w:lineRule="auto"/>
        <w:ind w:firstLine="567"/>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t>▪ în baza eșantionării, a fost verificat dacă unele cheltuieli bugetare semnificative (pentru reparații și investiții capitale, achiziții publice etc.) sînt legale și conforme;</w:t>
      </w:r>
    </w:p>
    <w:p w:rsidR="00F24302" w:rsidRPr="00860FD1" w:rsidRDefault="00F24302" w:rsidP="00F24302">
      <w:pPr>
        <w:numPr>
          <w:ilvl w:val="0"/>
          <w:numId w:val="23"/>
        </w:numPr>
        <w:spacing w:after="0" w:line="240" w:lineRule="auto"/>
        <w:ind w:left="567" w:firstLine="0"/>
        <w:contextualSpacing/>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t>au fost efectuate calcule de constatare la compartimentul retribuirea muncii;</w:t>
      </w:r>
    </w:p>
    <w:p w:rsidR="00F24302" w:rsidRPr="00860FD1" w:rsidRDefault="00F24302" w:rsidP="00F24302">
      <w:pPr>
        <w:spacing w:after="0" w:line="240" w:lineRule="auto"/>
        <w:ind w:firstLine="567"/>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t>▪ au fost verificate situațiile financiare semnificative din Raportul privind executarea bugetului raional, precum și situațiile patrimoniale din Bilanțul instituțiilor publice finanțate de la buget pe anul 2015, fiind confruntate cu documentele contabile și înregistrările financiare pe care acestea se bazează, în vederea confirmării veridicității lor;</w:t>
      </w:r>
    </w:p>
    <w:p w:rsidR="00F24302" w:rsidRPr="00860FD1" w:rsidRDefault="00F24302" w:rsidP="00F24302">
      <w:pPr>
        <w:spacing w:after="0" w:line="240" w:lineRule="auto"/>
        <w:ind w:firstLine="567"/>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t xml:space="preserve">▪ au fost aplicate diferite proceduri analitice, au fost întocmite teste de fond, fiind analizate și confruntate informații de la diferite entități: IFS Sîngerei, Trezoreria teritorială Sîngerei; au fost utilizate diferite surse TI (SIA „Cadastrul fiscal”; SIA „Cadastru”; </w:t>
      </w:r>
      <w:r w:rsidRPr="00860FD1">
        <w:rPr>
          <w:rFonts w:ascii="Times New Roman" w:eastAsia="Times New Roman" w:hAnsi="Times New Roman"/>
          <w:sz w:val="24"/>
          <w:szCs w:val="24"/>
          <w:u w:val="single"/>
          <w:lang w:val="ro-RO"/>
        </w:rPr>
        <w:t>www.geoportal.md</w:t>
      </w:r>
      <w:r w:rsidRPr="00860FD1">
        <w:rPr>
          <w:rFonts w:ascii="Times New Roman" w:eastAsia="Times New Roman" w:hAnsi="Times New Roman"/>
          <w:sz w:val="24"/>
          <w:szCs w:val="24"/>
          <w:lang w:val="ro-RO"/>
        </w:rPr>
        <w:t xml:space="preserve"> și altele);</w:t>
      </w:r>
    </w:p>
    <w:p w:rsidR="00F24302" w:rsidRPr="00860FD1" w:rsidRDefault="00F24302" w:rsidP="00F24302">
      <w:pPr>
        <w:spacing w:after="0" w:line="240" w:lineRule="auto"/>
        <w:ind w:firstLine="567"/>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lastRenderedPageBreak/>
        <w:t>▪ au fost verificate situațiile patrimoniale raportate de către UAT, acestea fiind confruntate cu documentele contabile și înregistrările financiare respective;</w:t>
      </w:r>
    </w:p>
    <w:p w:rsidR="00F24302" w:rsidRDefault="00F24302" w:rsidP="00F24302">
      <w:pPr>
        <w:spacing w:after="0" w:line="240" w:lineRule="auto"/>
        <w:ind w:firstLine="567"/>
        <w:jc w:val="both"/>
        <w:rPr>
          <w:rFonts w:ascii="Times New Roman" w:eastAsia="Times New Roman" w:hAnsi="Times New Roman"/>
          <w:sz w:val="24"/>
          <w:szCs w:val="24"/>
          <w:lang w:val="ro-RO"/>
        </w:rPr>
      </w:pPr>
      <w:r w:rsidRPr="00860FD1">
        <w:rPr>
          <w:rFonts w:ascii="Times New Roman" w:eastAsia="Times New Roman" w:hAnsi="Times New Roman"/>
          <w:sz w:val="24"/>
          <w:szCs w:val="24"/>
          <w:lang w:val="ro-RO"/>
        </w:rPr>
        <w:t>▪ au fost realizate interviuri cu angajații unor instituții din cadrul AAPL (de nivelul I şi nivelul II) din raion pentru confirmarea concluziilor privind fu</w:t>
      </w:r>
      <w:r>
        <w:rPr>
          <w:rFonts w:ascii="Times New Roman" w:eastAsia="Times New Roman" w:hAnsi="Times New Roman"/>
          <w:sz w:val="24"/>
          <w:szCs w:val="24"/>
          <w:lang w:val="ro-RO"/>
        </w:rPr>
        <w:t xml:space="preserve">ncționarea controalelor interne asupra </w:t>
      </w:r>
      <w:r w:rsidRPr="00860FD1">
        <w:rPr>
          <w:rFonts w:ascii="Times New Roman" w:eastAsia="Times New Roman" w:hAnsi="Times New Roman"/>
          <w:sz w:val="24"/>
          <w:szCs w:val="24"/>
          <w:lang w:val="ro-RO"/>
        </w:rPr>
        <w:t>anum</w:t>
      </w:r>
      <w:r>
        <w:rPr>
          <w:rFonts w:ascii="Times New Roman" w:eastAsia="Times New Roman" w:hAnsi="Times New Roman"/>
          <w:sz w:val="24"/>
          <w:szCs w:val="24"/>
          <w:lang w:val="ro-RO"/>
        </w:rPr>
        <w:t>itor aspecte de activitate etc</w:t>
      </w:r>
    </w:p>
    <w:p w:rsidR="00F24302" w:rsidRPr="003D14BB" w:rsidRDefault="00F24302" w:rsidP="00F24302">
      <w:pPr>
        <w:spacing w:after="0" w:line="240" w:lineRule="auto"/>
        <w:ind w:firstLine="567"/>
        <w:jc w:val="both"/>
        <w:rPr>
          <w:rFonts w:ascii="Times New Roman" w:eastAsia="Times New Roman" w:hAnsi="Times New Roman"/>
          <w:sz w:val="24"/>
          <w:szCs w:val="24"/>
          <w:lang w:val="ro-RO"/>
        </w:rPr>
        <w:sectPr w:rsidR="00F24302" w:rsidRPr="003D14BB" w:rsidSect="004D4A86">
          <w:footerReference w:type="default" r:id="rId7"/>
          <w:pgSz w:w="11906" w:h="16838"/>
          <w:pgMar w:top="1021" w:right="851" w:bottom="907" w:left="1701" w:header="709" w:footer="709" w:gutter="0"/>
          <w:cols w:space="708"/>
          <w:docGrid w:linePitch="360"/>
        </w:sectPr>
      </w:pPr>
      <w:r>
        <w:rPr>
          <w:rFonts w:ascii="Times New Roman" w:eastAsia="Times New Roman" w:hAnsi="Times New Roman"/>
          <w:sz w:val="24"/>
          <w:szCs w:val="24"/>
          <w:lang w:val="ro-RO"/>
        </w:rPr>
        <w:t>.</w:t>
      </w:r>
    </w:p>
    <w:tbl>
      <w:tblPr>
        <w:tblpPr w:leftFromText="180" w:rightFromText="180" w:vertAnchor="text" w:horzAnchor="margin" w:tblpXSpec="center" w:tblpY="-1132"/>
        <w:tblOverlap w:val="never"/>
        <w:tblW w:w="15304" w:type="dxa"/>
        <w:tblLayout w:type="fixed"/>
        <w:tblLook w:val="00A0" w:firstRow="1" w:lastRow="0" w:firstColumn="1" w:lastColumn="0" w:noHBand="0" w:noVBand="0"/>
      </w:tblPr>
      <w:tblGrid>
        <w:gridCol w:w="717"/>
        <w:gridCol w:w="6366"/>
        <w:gridCol w:w="1027"/>
        <w:gridCol w:w="1028"/>
        <w:gridCol w:w="1027"/>
        <w:gridCol w:w="1028"/>
        <w:gridCol w:w="1028"/>
        <w:gridCol w:w="1027"/>
        <w:gridCol w:w="1028"/>
        <w:gridCol w:w="1028"/>
      </w:tblGrid>
      <w:tr w:rsidR="00F24302" w:rsidRPr="00C91C05" w:rsidTr="006B6AE0">
        <w:trPr>
          <w:trHeight w:hRule="exact" w:val="1123"/>
        </w:trPr>
        <w:tc>
          <w:tcPr>
            <w:tcW w:w="15304" w:type="dxa"/>
            <w:gridSpan w:val="10"/>
            <w:tcBorders>
              <w:bottom w:val="single" w:sz="4" w:space="0" w:color="auto"/>
            </w:tcBorders>
          </w:tcPr>
          <w:p w:rsidR="00F24302" w:rsidRPr="00C91C05" w:rsidRDefault="00F24302" w:rsidP="006B6AE0">
            <w:pPr>
              <w:spacing w:after="0" w:line="240" w:lineRule="auto"/>
              <w:jc w:val="right"/>
              <w:rPr>
                <w:rFonts w:ascii="Times New Roman" w:hAnsi="Times New Roman"/>
                <w:b/>
                <w:bCs/>
                <w:iCs/>
                <w:sz w:val="24"/>
                <w:szCs w:val="24"/>
                <w:lang w:val="ro-RO" w:eastAsia="ru-RU"/>
              </w:rPr>
            </w:pPr>
            <w:r>
              <w:rPr>
                <w:rFonts w:ascii="Times New Roman" w:hAnsi="Times New Roman"/>
                <w:b/>
                <w:bCs/>
                <w:iCs/>
                <w:sz w:val="24"/>
                <w:szCs w:val="24"/>
                <w:lang w:val="ro-RO" w:eastAsia="ru-RU"/>
              </w:rPr>
              <w:lastRenderedPageBreak/>
              <w:t xml:space="preserve">            </w:t>
            </w:r>
            <w:r w:rsidRPr="00C91C05">
              <w:rPr>
                <w:rFonts w:ascii="Times New Roman" w:hAnsi="Times New Roman"/>
                <w:b/>
                <w:bCs/>
                <w:iCs/>
                <w:sz w:val="24"/>
                <w:szCs w:val="24"/>
                <w:lang w:val="ro-RO" w:eastAsia="ru-RU"/>
              </w:rPr>
              <w:t>Anexa nr.4</w:t>
            </w:r>
          </w:p>
          <w:p w:rsidR="00F24302" w:rsidRPr="00C91C05" w:rsidRDefault="00F24302" w:rsidP="006B6AE0">
            <w:pPr>
              <w:spacing w:after="0" w:line="240" w:lineRule="auto"/>
              <w:jc w:val="center"/>
              <w:rPr>
                <w:rFonts w:ascii="Times New Roman" w:hAnsi="Times New Roman"/>
                <w:b/>
                <w:bCs/>
                <w:iCs/>
                <w:sz w:val="24"/>
                <w:szCs w:val="24"/>
                <w:lang w:val="ro-RO" w:eastAsia="ru-RU"/>
              </w:rPr>
            </w:pPr>
            <w:r w:rsidRPr="00C91C05">
              <w:rPr>
                <w:rFonts w:ascii="Times New Roman" w:hAnsi="Times New Roman"/>
                <w:b/>
                <w:bCs/>
                <w:iCs/>
                <w:sz w:val="24"/>
                <w:szCs w:val="24"/>
                <w:lang w:val="ro-RO" w:eastAsia="ru-RU"/>
              </w:rPr>
              <w:t>Executarea veniturilor bugetelor UAT din raionul Sîngerei pe anul 2015</w:t>
            </w:r>
          </w:p>
          <w:p w:rsidR="00F24302" w:rsidRPr="0098198B" w:rsidRDefault="00F24302" w:rsidP="006B6AE0">
            <w:pPr>
              <w:spacing w:after="0" w:line="240" w:lineRule="auto"/>
              <w:jc w:val="right"/>
              <w:rPr>
                <w:rFonts w:ascii="Times New Roman" w:hAnsi="Times New Roman"/>
                <w:i/>
                <w:sz w:val="20"/>
                <w:szCs w:val="20"/>
                <w:lang w:val="ro-RO" w:eastAsia="ru-RU"/>
              </w:rPr>
            </w:pPr>
            <w:r w:rsidRPr="0098198B">
              <w:rPr>
                <w:rFonts w:ascii="Times New Roman" w:hAnsi="Times New Roman"/>
                <w:b/>
                <w:bCs/>
                <w:i/>
                <w:iCs/>
                <w:sz w:val="20"/>
                <w:szCs w:val="20"/>
                <w:lang w:val="ro-RO" w:eastAsia="ru-RU"/>
              </w:rPr>
              <w:t xml:space="preserve">            (</w:t>
            </w:r>
            <w:r w:rsidRPr="0098198B">
              <w:rPr>
                <w:rFonts w:ascii="Times New Roman" w:hAnsi="Times New Roman"/>
                <w:bCs/>
                <w:i/>
                <w:iCs/>
                <w:sz w:val="20"/>
                <w:szCs w:val="20"/>
                <w:lang w:val="ro-RO" w:eastAsia="ru-RU"/>
              </w:rPr>
              <w:t>mii lei)</w:t>
            </w:r>
          </w:p>
        </w:tc>
      </w:tr>
      <w:tr w:rsidR="00F24302" w:rsidRPr="00C91C05" w:rsidTr="006B6AE0">
        <w:trPr>
          <w:trHeight w:hRule="exact" w:val="1123"/>
        </w:trPr>
        <w:tc>
          <w:tcPr>
            <w:tcW w:w="717" w:type="dxa"/>
            <w:tcBorders>
              <w:top w:val="single" w:sz="4" w:space="0" w:color="auto"/>
              <w:left w:val="single" w:sz="4" w:space="0" w:color="auto"/>
              <w:bottom w:val="single" w:sz="4" w:space="0" w:color="auto"/>
              <w:right w:val="single" w:sz="4" w:space="0" w:color="auto"/>
            </w:tcBorders>
            <w:textDirection w:val="btLr"/>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Cap. de Venituri</w:t>
            </w:r>
          </w:p>
        </w:tc>
        <w:tc>
          <w:tcPr>
            <w:tcW w:w="6366" w:type="dxa"/>
            <w:tcBorders>
              <w:top w:val="single" w:sz="4" w:space="0" w:color="auto"/>
              <w:left w:val="single" w:sz="4" w:space="0" w:color="auto"/>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Denumirea veniturilor</w:t>
            </w:r>
          </w:p>
        </w:tc>
        <w:tc>
          <w:tcPr>
            <w:tcW w:w="1027" w:type="dxa"/>
            <w:tcBorders>
              <w:top w:val="single" w:sz="4" w:space="0" w:color="auto"/>
              <w:left w:val="single" w:sz="4" w:space="0" w:color="auto"/>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Aprobat</w:t>
            </w:r>
          </w:p>
        </w:tc>
        <w:tc>
          <w:tcPr>
            <w:tcW w:w="1028" w:type="dxa"/>
            <w:tcBorders>
              <w:top w:val="single" w:sz="4" w:space="0" w:color="auto"/>
              <w:left w:val="single" w:sz="4" w:space="0" w:color="auto"/>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Rectificat</w:t>
            </w:r>
          </w:p>
        </w:tc>
        <w:tc>
          <w:tcPr>
            <w:tcW w:w="1027" w:type="dxa"/>
            <w:tcBorders>
              <w:top w:val="single" w:sz="4" w:space="0" w:color="auto"/>
              <w:left w:val="single" w:sz="4" w:space="0" w:color="auto"/>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Executat</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Ponderea, %</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Executa</w:t>
            </w:r>
            <w:r>
              <w:rPr>
                <w:rFonts w:ascii="Times New Roman" w:hAnsi="Times New Roman"/>
                <w:sz w:val="18"/>
                <w:szCs w:val="18"/>
                <w:lang w:val="ro-RO" w:eastAsia="ru-RU"/>
              </w:rPr>
              <w:t>t</w:t>
            </w:r>
            <w:r w:rsidRPr="00C91C05">
              <w:rPr>
                <w:rFonts w:ascii="Times New Roman" w:hAnsi="Times New Roman"/>
                <w:sz w:val="18"/>
                <w:szCs w:val="18"/>
                <w:lang w:val="ro-RO" w:eastAsia="ru-RU"/>
              </w:rPr>
              <w:t>, %</w:t>
            </w:r>
          </w:p>
        </w:tc>
        <w:tc>
          <w:tcPr>
            <w:tcW w:w="1027" w:type="dxa"/>
            <w:tcBorders>
              <w:top w:val="single" w:sz="4" w:space="0" w:color="auto"/>
              <w:left w:val="single" w:sz="4" w:space="0" w:color="auto"/>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Devieri, +/-</w:t>
            </w:r>
          </w:p>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single" w:sz="4" w:space="0" w:color="auto"/>
              <w:left w:val="single" w:sz="4" w:space="0" w:color="auto"/>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Devieri, +/-</w:t>
            </w:r>
          </w:p>
          <w:p w:rsidR="00F24302" w:rsidRPr="00C91C05" w:rsidRDefault="00F24302" w:rsidP="006B6AE0">
            <w:pPr>
              <w:spacing w:after="0" w:line="240" w:lineRule="auto"/>
              <w:rPr>
                <w:rFonts w:ascii="Times New Roman" w:hAnsi="Times New Roman"/>
                <w:sz w:val="18"/>
                <w:szCs w:val="18"/>
                <w:lang w:val="ro-RO" w:eastAsia="ru-RU"/>
              </w:rPr>
            </w:pPr>
          </w:p>
        </w:tc>
        <w:tc>
          <w:tcPr>
            <w:tcW w:w="1028" w:type="dxa"/>
            <w:tcBorders>
              <w:top w:val="single" w:sz="4" w:space="0" w:color="auto"/>
              <w:left w:val="single" w:sz="4" w:space="0" w:color="auto"/>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Devieri, +/-</w:t>
            </w:r>
          </w:p>
          <w:p w:rsidR="00F24302" w:rsidRPr="00C91C05" w:rsidRDefault="00F24302" w:rsidP="006B6AE0">
            <w:pPr>
              <w:spacing w:after="0" w:line="240" w:lineRule="auto"/>
              <w:jc w:val="center"/>
              <w:rPr>
                <w:rFonts w:ascii="Times New Roman" w:hAnsi="Times New Roman"/>
                <w:sz w:val="18"/>
                <w:szCs w:val="18"/>
                <w:lang w:val="ro-RO" w:eastAsia="ru-RU"/>
              </w:rPr>
            </w:pP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w:t>
            </w:r>
          </w:p>
        </w:tc>
        <w:tc>
          <w:tcPr>
            <w:tcW w:w="1027"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w:t>
            </w:r>
          </w:p>
        </w:tc>
        <w:tc>
          <w:tcPr>
            <w:tcW w:w="1027"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8=5-4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9=5-3</w:t>
            </w:r>
          </w:p>
        </w:tc>
        <w:tc>
          <w:tcPr>
            <w:tcW w:w="1028" w:type="dxa"/>
            <w:tcBorders>
              <w:top w:val="single" w:sz="4" w:space="0" w:color="auto"/>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9=4-3</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111/00</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i/>
                <w:sz w:val="18"/>
                <w:szCs w:val="18"/>
                <w:lang w:val="ro-RO" w:eastAsia="ru-RU"/>
              </w:rPr>
            </w:pPr>
            <w:r w:rsidRPr="00C91C05">
              <w:rPr>
                <w:rFonts w:ascii="Times New Roman" w:hAnsi="Times New Roman"/>
                <w:i/>
                <w:sz w:val="18"/>
                <w:szCs w:val="18"/>
                <w:lang w:val="ro-RO" w:eastAsia="ru-RU"/>
              </w:rPr>
              <w:t>Impozite pe venit</w:t>
            </w:r>
            <w:r>
              <w:rPr>
                <w:rFonts w:ascii="Times New Roman" w:hAnsi="Times New Roman"/>
                <w:i/>
                <w:sz w:val="18"/>
                <w:szCs w:val="18"/>
                <w:lang w:val="ro-RO" w:eastAsia="ru-RU"/>
              </w:rPr>
              <w:t xml:space="preserve">    </w:t>
            </w:r>
            <w:r w:rsidRPr="00C91C05">
              <w:rPr>
                <w:rFonts w:ascii="Times New Roman" w:hAnsi="Times New Roman"/>
                <w:i/>
                <w:sz w:val="18"/>
                <w:szCs w:val="18"/>
                <w:lang w:val="ro-RO" w:eastAsia="ru-RU"/>
              </w:rPr>
              <w:t xml:space="preser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12902.8</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12878.6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13039.8</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4.7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101.3</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161.2</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137</w:t>
            </w:r>
          </w:p>
        </w:tc>
        <w:tc>
          <w:tcPr>
            <w:tcW w:w="1028" w:type="dxa"/>
            <w:tcBorders>
              <w:top w:val="nil"/>
              <w:left w:val="nil"/>
              <w:bottom w:val="single" w:sz="4" w:space="0" w:color="auto"/>
              <w:right w:val="single" w:sz="4" w:space="0" w:color="auto"/>
            </w:tcBorders>
            <w:hideMark/>
          </w:tcPr>
          <w:p w:rsidR="00F24302" w:rsidRPr="00BA7B0D" w:rsidRDefault="00F24302" w:rsidP="006B6AE0">
            <w:pPr>
              <w:spacing w:after="0" w:line="240" w:lineRule="auto"/>
              <w:jc w:val="center"/>
              <w:rPr>
                <w:rFonts w:ascii="Times New Roman" w:hAnsi="Times New Roman"/>
                <w:i/>
                <w:sz w:val="18"/>
                <w:szCs w:val="18"/>
                <w:lang w:val="ro-RO" w:eastAsia="ru-RU"/>
              </w:rPr>
            </w:pPr>
            <w:r w:rsidRPr="00BA7B0D">
              <w:rPr>
                <w:rFonts w:ascii="Times New Roman" w:hAnsi="Times New Roman"/>
                <w:i/>
                <w:sz w:val="18"/>
                <w:szCs w:val="18"/>
                <w:lang w:val="ro-RO" w:eastAsia="ru-RU"/>
              </w:rPr>
              <w:t>-24.2</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111/01</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 xml:space="preserve"> Impozitul pe venitul  din salariu</w:t>
            </w:r>
            <w:r>
              <w:rPr>
                <w:rFonts w:ascii="Times New Roman" w:hAnsi="Times New Roman"/>
                <w:sz w:val="18"/>
                <w:szCs w:val="18"/>
                <w:lang w:val="ro-RO" w:eastAsia="ru-RU"/>
              </w:rPr>
              <w:t xml:space="preserve">  </w:t>
            </w:r>
            <w:r w:rsidRPr="00C91C05">
              <w:rPr>
                <w:rFonts w:ascii="Times New Roman" w:hAnsi="Times New Roman"/>
                <w:sz w:val="18"/>
                <w:szCs w:val="18"/>
                <w:lang w:val="ro-RO" w:eastAsia="ru-RU"/>
              </w:rPr>
              <w:t xml:space="preser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12834.2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12805.6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13152.0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highlight w:val="yellow"/>
                <w:lang w:val="ro-RO" w:eastAsia="ru-RU"/>
              </w:rPr>
            </w:pPr>
            <w:r w:rsidRPr="00C91C05">
              <w:rPr>
                <w:rFonts w:ascii="Times New Roman" w:hAnsi="Times New Roman"/>
                <w:sz w:val="18"/>
                <w:szCs w:val="18"/>
                <w:lang w:val="ro-RO" w:eastAsia="ru-RU"/>
              </w:rPr>
              <w:t>4.8</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102.7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346.4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317.8</w:t>
            </w:r>
          </w:p>
        </w:tc>
        <w:tc>
          <w:tcPr>
            <w:tcW w:w="1028" w:type="dxa"/>
            <w:tcBorders>
              <w:top w:val="nil"/>
              <w:left w:val="nil"/>
              <w:bottom w:val="single" w:sz="4" w:space="0" w:color="auto"/>
              <w:right w:val="single" w:sz="4" w:space="0" w:color="auto"/>
            </w:tcBorders>
            <w:hideMark/>
          </w:tcPr>
          <w:p w:rsidR="00F24302" w:rsidRPr="00BA7B0D" w:rsidRDefault="00F24302" w:rsidP="006B6AE0">
            <w:pPr>
              <w:spacing w:after="0" w:line="240" w:lineRule="auto"/>
              <w:jc w:val="center"/>
              <w:rPr>
                <w:rFonts w:ascii="Times New Roman" w:hAnsi="Times New Roman"/>
                <w:sz w:val="18"/>
                <w:szCs w:val="18"/>
                <w:lang w:val="ro-RO" w:eastAsia="ru-RU"/>
              </w:rPr>
            </w:pPr>
            <w:r w:rsidRPr="00BA7B0D">
              <w:rPr>
                <w:rFonts w:ascii="Times New Roman" w:hAnsi="Times New Roman"/>
                <w:sz w:val="18"/>
                <w:szCs w:val="18"/>
                <w:lang w:val="ro-RO" w:eastAsia="ru-RU"/>
              </w:rPr>
              <w:t>-28.6</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111/09</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 xml:space="preserve"> Alte impozite pe venit</w:t>
            </w:r>
            <w:r>
              <w:rPr>
                <w:rFonts w:ascii="Times New Roman" w:hAnsi="Times New Roman"/>
                <w:sz w:val="18"/>
                <w:szCs w:val="18"/>
                <w:lang w:val="ro-RO" w:eastAsia="ru-RU"/>
              </w:rPr>
              <w:t xml:space="preserve">     </w:t>
            </w:r>
            <w:r w:rsidRPr="00C91C05">
              <w:rPr>
                <w:rFonts w:ascii="Times New Roman" w:hAnsi="Times New Roman"/>
                <w:sz w:val="18"/>
                <w:szCs w:val="18"/>
                <w:lang w:val="ro-RO" w:eastAsia="ru-RU"/>
              </w:rPr>
              <w:t xml:space="preser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68.6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73.0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-112.2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-153.7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-185.2</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-180.8</w:t>
            </w:r>
          </w:p>
        </w:tc>
        <w:tc>
          <w:tcPr>
            <w:tcW w:w="1028" w:type="dxa"/>
            <w:tcBorders>
              <w:top w:val="nil"/>
              <w:left w:val="nil"/>
              <w:bottom w:val="single" w:sz="4" w:space="0" w:color="auto"/>
              <w:right w:val="single" w:sz="4" w:space="0" w:color="auto"/>
            </w:tcBorders>
            <w:hideMark/>
          </w:tcPr>
          <w:p w:rsidR="00F24302" w:rsidRPr="00BA7B0D" w:rsidRDefault="00F24302" w:rsidP="006B6AE0">
            <w:pPr>
              <w:spacing w:after="0" w:line="240" w:lineRule="auto"/>
              <w:jc w:val="center"/>
              <w:rPr>
                <w:rFonts w:ascii="Times New Roman" w:hAnsi="Times New Roman"/>
                <w:sz w:val="18"/>
                <w:szCs w:val="18"/>
                <w:lang w:val="ro-RO" w:eastAsia="ru-RU"/>
              </w:rPr>
            </w:pPr>
            <w:r w:rsidRPr="00BA7B0D">
              <w:rPr>
                <w:rFonts w:ascii="Times New Roman" w:hAnsi="Times New Roman"/>
                <w:sz w:val="18"/>
                <w:szCs w:val="18"/>
                <w:lang w:val="ro-RO" w:eastAsia="ru-RU"/>
              </w:rPr>
              <w:t>4.4</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114/00</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i/>
                <w:sz w:val="18"/>
                <w:szCs w:val="18"/>
                <w:lang w:val="ro-RO" w:eastAsia="ru-RU"/>
              </w:rPr>
            </w:pPr>
            <w:r w:rsidRPr="00C91C05">
              <w:rPr>
                <w:rFonts w:ascii="Times New Roman" w:hAnsi="Times New Roman"/>
                <w:i/>
                <w:sz w:val="18"/>
                <w:szCs w:val="18"/>
                <w:lang w:val="ro-RO" w:eastAsia="ru-RU"/>
              </w:rPr>
              <w:t>Impozite pe proprietate</w:t>
            </w:r>
            <w:r>
              <w:rPr>
                <w:rFonts w:ascii="Times New Roman" w:hAnsi="Times New Roman"/>
                <w:i/>
                <w:sz w:val="18"/>
                <w:szCs w:val="18"/>
                <w:lang w:val="ro-RO" w:eastAsia="ru-RU"/>
              </w:rPr>
              <w:t xml:space="preserve">     </w:t>
            </w:r>
            <w:r w:rsidRPr="00C91C05">
              <w:rPr>
                <w:rFonts w:ascii="Times New Roman" w:hAnsi="Times New Roman"/>
                <w:i/>
                <w:sz w:val="18"/>
                <w:szCs w:val="18"/>
                <w:lang w:val="ro-RO" w:eastAsia="ru-RU"/>
              </w:rPr>
              <w:t xml:space="preser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7345.4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7246.9</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6919.7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95.5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-327.2</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-425.7</w:t>
            </w:r>
          </w:p>
        </w:tc>
        <w:tc>
          <w:tcPr>
            <w:tcW w:w="1028" w:type="dxa"/>
            <w:tcBorders>
              <w:top w:val="nil"/>
              <w:left w:val="nil"/>
              <w:bottom w:val="single" w:sz="4" w:space="0" w:color="auto"/>
              <w:right w:val="single" w:sz="4" w:space="0" w:color="auto"/>
            </w:tcBorders>
            <w:hideMark/>
          </w:tcPr>
          <w:p w:rsidR="00F24302" w:rsidRPr="00BA7B0D" w:rsidRDefault="00F24302" w:rsidP="006B6AE0">
            <w:pPr>
              <w:spacing w:after="0" w:line="240" w:lineRule="auto"/>
              <w:jc w:val="center"/>
              <w:rPr>
                <w:rFonts w:ascii="Times New Roman" w:hAnsi="Times New Roman"/>
                <w:i/>
                <w:sz w:val="18"/>
                <w:szCs w:val="18"/>
                <w:lang w:val="ro-RO" w:eastAsia="ru-RU"/>
              </w:rPr>
            </w:pPr>
            <w:r w:rsidRPr="00BA7B0D">
              <w:rPr>
                <w:rFonts w:ascii="Times New Roman" w:hAnsi="Times New Roman"/>
                <w:i/>
                <w:sz w:val="18"/>
                <w:szCs w:val="18"/>
                <w:lang w:val="ro-RO" w:eastAsia="ru-RU"/>
              </w:rPr>
              <w:t>-98,5</w:t>
            </w:r>
          </w:p>
        </w:tc>
      </w:tr>
      <w:tr w:rsidR="00F24302" w:rsidRPr="00C91C05" w:rsidTr="006B6AE0">
        <w:trPr>
          <w:trHeight w:val="303"/>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114/01</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Impozit funciar pe terenurile cu destina</w:t>
            </w:r>
            <w:r w:rsidRPr="0098198B">
              <w:rPr>
                <w:rFonts w:ascii="Times New Roman" w:hAnsi="Times New Roman"/>
                <w:sz w:val="18"/>
                <w:szCs w:val="18"/>
                <w:lang w:val="ro-RO" w:eastAsia="ru-RU"/>
              </w:rPr>
              <w:t>ț</w:t>
            </w:r>
            <w:r w:rsidRPr="00A1503F">
              <w:rPr>
                <w:rFonts w:ascii="Times New Roman" w:hAnsi="Times New Roman"/>
                <w:sz w:val="18"/>
                <w:szCs w:val="18"/>
                <w:lang w:val="ro-RO" w:eastAsia="ru-RU"/>
              </w:rPr>
              <w:t>ie agricol</w:t>
            </w:r>
            <w:r>
              <w:rPr>
                <w:rFonts w:ascii="Times New Roman" w:hAnsi="Times New Roman"/>
                <w:sz w:val="18"/>
                <w:szCs w:val="18"/>
                <w:lang w:val="ro-RO" w:eastAsia="ru-RU"/>
              </w:rPr>
              <w:t>ă</w:t>
            </w:r>
            <w:r w:rsidRPr="00A1503F">
              <w:rPr>
                <w:rFonts w:ascii="Times New Roman" w:hAnsi="Times New Roman"/>
                <w:sz w:val="18"/>
                <w:szCs w:val="18"/>
                <w:lang w:val="ro-RO" w:eastAsia="ru-RU"/>
              </w:rPr>
              <w:t>, cu excep</w:t>
            </w:r>
            <w:r w:rsidRPr="0098198B">
              <w:rPr>
                <w:rFonts w:ascii="Times New Roman" w:hAnsi="Times New Roman"/>
                <w:sz w:val="18"/>
                <w:szCs w:val="18"/>
                <w:lang w:val="ro-RO" w:eastAsia="ru-RU"/>
              </w:rPr>
              <w:t>ț</w:t>
            </w:r>
            <w:r w:rsidRPr="00A1503F">
              <w:rPr>
                <w:rFonts w:ascii="Times New Roman" w:hAnsi="Times New Roman"/>
                <w:sz w:val="18"/>
                <w:szCs w:val="18"/>
                <w:lang w:val="ro-RO" w:eastAsia="ru-RU"/>
              </w:rPr>
              <w:t xml:space="preserve">ia impozitului de la gospodăriile </w:t>
            </w:r>
            <w:r>
              <w:rPr>
                <w:rFonts w:ascii="Times New Roman" w:hAnsi="Times New Roman"/>
                <w:sz w:val="18"/>
                <w:szCs w:val="18"/>
                <w:lang w:val="ro-RO" w:eastAsia="ru-RU"/>
              </w:rPr>
              <w:t>țărănești</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3783.3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3754.7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3618.0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96.4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-136.7</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-165.3</w:t>
            </w:r>
          </w:p>
        </w:tc>
        <w:tc>
          <w:tcPr>
            <w:tcW w:w="1028" w:type="dxa"/>
            <w:tcBorders>
              <w:top w:val="nil"/>
              <w:left w:val="nil"/>
              <w:bottom w:val="single" w:sz="4" w:space="0" w:color="auto"/>
              <w:right w:val="single" w:sz="4" w:space="0" w:color="auto"/>
            </w:tcBorders>
          </w:tcPr>
          <w:p w:rsidR="00F24302" w:rsidRPr="00BA7B0D" w:rsidRDefault="00F24302" w:rsidP="006B6AE0">
            <w:pPr>
              <w:spacing w:after="0" w:line="240" w:lineRule="auto"/>
              <w:jc w:val="center"/>
              <w:rPr>
                <w:rFonts w:ascii="Times New Roman" w:hAnsi="Times New Roman"/>
                <w:sz w:val="18"/>
                <w:szCs w:val="18"/>
                <w:lang w:val="ro-RO" w:eastAsia="ru-RU"/>
              </w:rPr>
            </w:pPr>
            <w:r w:rsidRPr="00BA7B0D">
              <w:rPr>
                <w:rFonts w:ascii="Times New Roman" w:hAnsi="Times New Roman"/>
                <w:sz w:val="18"/>
                <w:szCs w:val="18"/>
                <w:lang w:val="ro-RO" w:eastAsia="ru-RU"/>
              </w:rPr>
              <w:t>-28.5</w:t>
            </w:r>
          </w:p>
        </w:tc>
      </w:tr>
      <w:tr w:rsidR="00F24302" w:rsidRPr="00C91C05" w:rsidTr="006B6AE0">
        <w:trPr>
          <w:trHeight w:val="169"/>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114/02</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Impozit funciar pe terenurile cu alt</w:t>
            </w:r>
            <w:r>
              <w:rPr>
                <w:rFonts w:ascii="Times New Roman" w:hAnsi="Times New Roman"/>
                <w:sz w:val="18"/>
                <w:szCs w:val="18"/>
                <w:lang w:val="ro-RO" w:eastAsia="ru-RU"/>
              </w:rPr>
              <w:t>ă</w:t>
            </w:r>
            <w:r w:rsidRPr="00A1503F">
              <w:rPr>
                <w:rFonts w:ascii="Times New Roman" w:hAnsi="Times New Roman"/>
                <w:sz w:val="18"/>
                <w:szCs w:val="18"/>
                <w:lang w:val="ro-RO" w:eastAsia="ru-RU"/>
              </w:rPr>
              <w:t xml:space="preserve"> destina</w:t>
            </w:r>
            <w:r w:rsidRPr="0098198B">
              <w:rPr>
                <w:rFonts w:ascii="Times New Roman" w:hAnsi="Times New Roman"/>
                <w:sz w:val="18"/>
                <w:szCs w:val="18"/>
                <w:lang w:val="ro-RO" w:eastAsia="ru-RU"/>
              </w:rPr>
              <w:t>ț</w:t>
            </w:r>
            <w:r w:rsidRPr="00A1503F">
              <w:rPr>
                <w:rFonts w:ascii="Times New Roman" w:hAnsi="Times New Roman"/>
                <w:sz w:val="18"/>
                <w:szCs w:val="18"/>
                <w:lang w:val="ro-RO" w:eastAsia="ru-RU"/>
              </w:rPr>
              <w:t>ie decît cea agricol</w:t>
            </w:r>
            <w:r>
              <w:rPr>
                <w:rFonts w:ascii="Times New Roman" w:hAnsi="Times New Roman"/>
                <w:sz w:val="18"/>
                <w:szCs w:val="18"/>
                <w:lang w:val="ro-RO" w:eastAsia="ru-RU"/>
              </w:rPr>
              <w:t>ă</w:t>
            </w:r>
            <w:r w:rsidRPr="00A1503F">
              <w:rPr>
                <w:rFonts w:ascii="Times New Roman" w:hAnsi="Times New Roman"/>
                <w:sz w:val="18"/>
                <w:szCs w:val="18"/>
                <w:lang w:val="ro-RO" w:eastAsia="ru-RU"/>
              </w:rPr>
              <w:t xml:space="preser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264.4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258.7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252.0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97.4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-6.7</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-12.4</w:t>
            </w:r>
          </w:p>
        </w:tc>
        <w:tc>
          <w:tcPr>
            <w:tcW w:w="1028" w:type="dxa"/>
            <w:tcBorders>
              <w:top w:val="nil"/>
              <w:left w:val="nil"/>
              <w:bottom w:val="single" w:sz="4" w:space="0" w:color="auto"/>
              <w:right w:val="single" w:sz="4" w:space="0" w:color="auto"/>
            </w:tcBorders>
          </w:tcPr>
          <w:p w:rsidR="00F24302" w:rsidRPr="00BA7B0D" w:rsidRDefault="00F24302" w:rsidP="006B6AE0">
            <w:pPr>
              <w:spacing w:after="0" w:line="240" w:lineRule="auto"/>
              <w:jc w:val="center"/>
              <w:rPr>
                <w:rFonts w:ascii="Times New Roman" w:hAnsi="Times New Roman"/>
                <w:sz w:val="18"/>
                <w:szCs w:val="18"/>
                <w:lang w:val="ro-RO" w:eastAsia="ru-RU"/>
              </w:rPr>
            </w:pPr>
            <w:r w:rsidRPr="00BA7B0D">
              <w:rPr>
                <w:rFonts w:ascii="Times New Roman" w:hAnsi="Times New Roman"/>
                <w:sz w:val="18"/>
                <w:szCs w:val="18"/>
                <w:lang w:val="ro-RO" w:eastAsia="ru-RU"/>
              </w:rPr>
              <w:t>-5.7</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114/03</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Impozit funciar încasat de la persoanele fizice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628.5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628.5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633.4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100.8</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4.9</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4.9</w:t>
            </w:r>
          </w:p>
        </w:tc>
        <w:tc>
          <w:tcPr>
            <w:tcW w:w="1028" w:type="dxa"/>
            <w:tcBorders>
              <w:top w:val="nil"/>
              <w:left w:val="nil"/>
              <w:bottom w:val="single" w:sz="4" w:space="0" w:color="auto"/>
              <w:right w:val="single" w:sz="4" w:space="0" w:color="auto"/>
            </w:tcBorders>
            <w:hideMark/>
          </w:tcPr>
          <w:p w:rsidR="00F24302" w:rsidRPr="00BA7B0D" w:rsidRDefault="00F24302" w:rsidP="006B6AE0">
            <w:pPr>
              <w:spacing w:after="0" w:line="240" w:lineRule="auto"/>
              <w:jc w:val="center"/>
              <w:rPr>
                <w:rFonts w:ascii="Times New Roman" w:hAnsi="Times New Roman"/>
                <w:sz w:val="18"/>
                <w:szCs w:val="18"/>
                <w:lang w:val="ro-RO" w:eastAsia="ru-RU"/>
              </w:rPr>
            </w:pPr>
            <w:r w:rsidRPr="00BA7B0D">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114/06</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Impozit funciar pe pă</w:t>
            </w:r>
            <w:r w:rsidRPr="0098198B">
              <w:rPr>
                <w:rFonts w:ascii="Times New Roman" w:hAnsi="Times New Roman"/>
                <w:sz w:val="18"/>
                <w:szCs w:val="18"/>
                <w:lang w:val="ro-RO" w:eastAsia="ru-RU"/>
              </w:rPr>
              <w:t>ș</w:t>
            </w:r>
            <w:r w:rsidRPr="00A1503F">
              <w:rPr>
                <w:rFonts w:ascii="Times New Roman" w:hAnsi="Times New Roman"/>
                <w:sz w:val="18"/>
                <w:szCs w:val="18"/>
                <w:lang w:val="ro-RO" w:eastAsia="ru-RU"/>
              </w:rPr>
              <w:t xml:space="preserve">uni </w:t>
            </w:r>
            <w:r>
              <w:rPr>
                <w:rFonts w:ascii="Times New Roman" w:hAnsi="Times New Roman"/>
                <w:sz w:val="18"/>
                <w:szCs w:val="18"/>
                <w:lang w:val="ro-RO" w:eastAsia="ru-RU"/>
              </w:rPr>
              <w:t>ș</w:t>
            </w:r>
            <w:r w:rsidRPr="00A1503F">
              <w:rPr>
                <w:rFonts w:ascii="Times New Roman" w:hAnsi="Times New Roman"/>
                <w:sz w:val="18"/>
                <w:szCs w:val="18"/>
                <w:lang w:val="ro-RO" w:eastAsia="ru-RU"/>
              </w:rPr>
              <w:t>i fine</w:t>
            </w:r>
            <w:r w:rsidRPr="0098198B">
              <w:rPr>
                <w:rFonts w:ascii="Times New Roman" w:hAnsi="Times New Roman"/>
                <w:sz w:val="18"/>
                <w:szCs w:val="18"/>
                <w:lang w:val="ro-RO" w:eastAsia="ru-RU"/>
              </w:rPr>
              <w:t>ț</w:t>
            </w:r>
            <w:r w:rsidRPr="00A1503F">
              <w:rPr>
                <w:rFonts w:ascii="Times New Roman" w:hAnsi="Times New Roman"/>
                <w:sz w:val="18"/>
                <w:szCs w:val="18"/>
                <w:lang w:val="ro-RO" w:eastAsia="ru-RU"/>
              </w:rPr>
              <w:t>e</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367.7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367.7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382.3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104.0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14.6</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14.6</w:t>
            </w:r>
          </w:p>
        </w:tc>
        <w:tc>
          <w:tcPr>
            <w:tcW w:w="1028" w:type="dxa"/>
            <w:tcBorders>
              <w:top w:val="nil"/>
              <w:left w:val="nil"/>
              <w:bottom w:val="single" w:sz="4" w:space="0" w:color="auto"/>
              <w:right w:val="single" w:sz="4" w:space="0" w:color="auto"/>
            </w:tcBorders>
            <w:hideMark/>
          </w:tcPr>
          <w:p w:rsidR="00F24302" w:rsidRPr="00BA7B0D" w:rsidRDefault="00F24302" w:rsidP="006B6AE0">
            <w:pPr>
              <w:spacing w:after="0" w:line="240" w:lineRule="auto"/>
              <w:jc w:val="center"/>
              <w:rPr>
                <w:rFonts w:ascii="Times New Roman" w:hAnsi="Times New Roman"/>
                <w:sz w:val="18"/>
                <w:szCs w:val="18"/>
                <w:lang w:val="ro-RO" w:eastAsia="ru-RU"/>
              </w:rPr>
            </w:pPr>
            <w:r w:rsidRPr="00BA7B0D">
              <w:rPr>
                <w:rFonts w:ascii="Times New Roman" w:hAnsi="Times New Roman"/>
                <w:sz w:val="18"/>
                <w:szCs w:val="18"/>
                <w:lang w:val="ro-RO" w:eastAsia="ru-RU"/>
              </w:rPr>
              <w:t>0</w:t>
            </w:r>
          </w:p>
        </w:tc>
      </w:tr>
      <w:tr w:rsidR="00F24302" w:rsidRPr="00C91C05" w:rsidTr="006B6AE0">
        <w:trPr>
          <w:trHeight w:val="495"/>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114/07</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Impozit funciar pe terenurile cu destina</w:t>
            </w:r>
            <w:r w:rsidRPr="0098198B">
              <w:rPr>
                <w:rFonts w:ascii="Times New Roman" w:hAnsi="Times New Roman"/>
                <w:sz w:val="18"/>
                <w:szCs w:val="18"/>
                <w:lang w:val="ro-RO" w:eastAsia="ru-RU"/>
              </w:rPr>
              <w:t>ț</w:t>
            </w:r>
            <w:r w:rsidRPr="00A1503F">
              <w:rPr>
                <w:rFonts w:ascii="Times New Roman" w:hAnsi="Times New Roman"/>
                <w:sz w:val="18"/>
                <w:szCs w:val="18"/>
                <w:lang w:val="ro-RO" w:eastAsia="ru-RU"/>
              </w:rPr>
              <w:t>ie agricol</w:t>
            </w:r>
            <w:r>
              <w:rPr>
                <w:rFonts w:ascii="Times New Roman" w:hAnsi="Times New Roman"/>
                <w:sz w:val="18"/>
                <w:szCs w:val="18"/>
                <w:lang w:val="ro-RO" w:eastAsia="ru-RU"/>
              </w:rPr>
              <w:t>ă</w:t>
            </w:r>
            <w:r w:rsidRPr="00A1503F">
              <w:rPr>
                <w:rFonts w:ascii="Times New Roman" w:hAnsi="Times New Roman"/>
                <w:sz w:val="18"/>
                <w:szCs w:val="18"/>
                <w:lang w:val="ro-RO" w:eastAsia="ru-RU"/>
              </w:rPr>
              <w:t xml:space="preserve"> de la gospodăriile </w:t>
            </w:r>
            <w:r w:rsidRPr="0098198B">
              <w:rPr>
                <w:rFonts w:ascii="Times New Roman" w:hAnsi="Times New Roman"/>
                <w:sz w:val="18"/>
                <w:szCs w:val="18"/>
                <w:lang w:val="ro-RO" w:eastAsia="ru-RU"/>
              </w:rPr>
              <w:t>ț</w:t>
            </w:r>
            <w:r w:rsidRPr="00A1503F">
              <w:rPr>
                <w:rFonts w:ascii="Times New Roman" w:hAnsi="Times New Roman"/>
                <w:sz w:val="18"/>
                <w:szCs w:val="18"/>
                <w:lang w:val="ro-RO" w:eastAsia="ru-RU"/>
              </w:rPr>
              <w:t>ărăne</w:t>
            </w:r>
            <w:r w:rsidRPr="0098198B">
              <w:rPr>
                <w:rFonts w:ascii="Times New Roman" w:hAnsi="Times New Roman"/>
                <w:sz w:val="18"/>
                <w:szCs w:val="18"/>
                <w:lang w:val="ro-RO" w:eastAsia="ru-RU"/>
              </w:rPr>
              <w:t>ș</w:t>
            </w:r>
            <w:r w:rsidRPr="00A1503F">
              <w:rPr>
                <w:rFonts w:ascii="Times New Roman" w:hAnsi="Times New Roman"/>
                <w:sz w:val="18"/>
                <w:szCs w:val="18"/>
                <w:lang w:val="ro-RO" w:eastAsia="ru-RU"/>
              </w:rPr>
              <w:t xml:space="preserve">ti (de fermier)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1193.5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1131.6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955.5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84.4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-176.1</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-238</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-61.9</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114/10</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Impozit pe bunurile imobiliare ale persoanelor juridice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84.3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84.3</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81.9</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97.2</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114/11</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Impozit pe bunurile imobiliare ale persoanelor fizice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228.3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228.3</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237.5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9.2</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9.2</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413"/>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114/12</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Impozitul pe bunurile imobiliare achitat de către persoanele juridice </w:t>
            </w:r>
            <w:r>
              <w:rPr>
                <w:rFonts w:ascii="Times New Roman" w:hAnsi="Times New Roman"/>
                <w:sz w:val="18"/>
                <w:szCs w:val="18"/>
                <w:lang w:val="ro-RO" w:eastAsia="ru-RU"/>
              </w:rPr>
              <w:t>ș</w:t>
            </w:r>
            <w:r w:rsidRPr="00A1503F">
              <w:rPr>
                <w:rFonts w:ascii="Times New Roman" w:hAnsi="Times New Roman"/>
                <w:sz w:val="18"/>
                <w:szCs w:val="18"/>
                <w:lang w:val="ro-RO" w:eastAsia="ru-RU"/>
              </w:rPr>
              <w:t xml:space="preserve">i fizice înregistrate </w:t>
            </w:r>
            <w:r w:rsidRPr="00BA7B0D">
              <w:rPr>
                <w:rFonts w:ascii="Times New Roman" w:hAnsi="Times New Roman"/>
                <w:sz w:val="18"/>
                <w:szCs w:val="18"/>
                <w:lang w:val="ro-RO" w:eastAsia="ru-RU"/>
              </w:rPr>
              <w:t>în calitate de întreprinzători</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267.8</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265.5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214.1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80.6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-51.4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-53.7</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-2,3</w:t>
            </w:r>
          </w:p>
        </w:tc>
      </w:tr>
      <w:tr w:rsidR="00F24302" w:rsidRPr="00C91C05" w:rsidTr="006B6AE0">
        <w:trPr>
          <w:trHeight w:val="448"/>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114/14</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Impozit pe bunurile imobiliare achitat de către persoanele fizice-cetă</w:t>
            </w:r>
            <w:r>
              <w:rPr>
                <w:rFonts w:ascii="Times New Roman" w:hAnsi="Times New Roman"/>
                <w:sz w:val="18"/>
                <w:szCs w:val="18"/>
                <w:lang w:val="ro-RO" w:eastAsia="ru-RU"/>
              </w:rPr>
              <w:t>ț</w:t>
            </w:r>
            <w:r w:rsidRPr="00A1503F">
              <w:rPr>
                <w:rFonts w:ascii="Times New Roman" w:hAnsi="Times New Roman"/>
                <w:sz w:val="18"/>
                <w:szCs w:val="18"/>
                <w:lang w:val="ro-RO" w:eastAsia="ru-RU"/>
              </w:rPr>
              <w:t>eni,</w:t>
            </w:r>
            <w:r>
              <w:rPr>
                <w:rFonts w:ascii="Times New Roman" w:hAnsi="Times New Roman"/>
                <w:sz w:val="18"/>
                <w:szCs w:val="18"/>
                <w:lang w:val="ro-RO" w:eastAsia="ru-RU"/>
              </w:rPr>
              <w:t xml:space="preserve"> </w:t>
            </w:r>
            <w:r w:rsidRPr="00A1503F">
              <w:rPr>
                <w:rFonts w:ascii="Times New Roman" w:hAnsi="Times New Roman"/>
                <w:sz w:val="18"/>
                <w:szCs w:val="18"/>
                <w:lang w:val="ro-RO" w:eastAsia="ru-RU"/>
              </w:rPr>
              <w:t>din valoarea estimat</w:t>
            </w:r>
            <w:r>
              <w:rPr>
                <w:rFonts w:ascii="Times New Roman" w:hAnsi="Times New Roman"/>
                <w:sz w:val="18"/>
                <w:szCs w:val="18"/>
                <w:lang w:val="ro-RO" w:eastAsia="ru-RU"/>
              </w:rPr>
              <w:t>ă</w:t>
            </w:r>
            <w:r w:rsidRPr="00A1503F">
              <w:rPr>
                <w:rFonts w:ascii="Times New Roman" w:hAnsi="Times New Roman"/>
                <w:sz w:val="18"/>
                <w:szCs w:val="18"/>
                <w:lang w:val="ro-RO" w:eastAsia="ru-RU"/>
              </w:rPr>
              <w:t xml:space="preserve"> (de pia</w:t>
            </w:r>
            <w:r w:rsidRPr="0098198B">
              <w:rPr>
                <w:rFonts w:ascii="Times New Roman" w:hAnsi="Times New Roman"/>
                <w:sz w:val="18"/>
                <w:szCs w:val="18"/>
                <w:lang w:val="ro-RO" w:eastAsia="ru-RU"/>
              </w:rPr>
              <w:t>ț</w:t>
            </w:r>
            <w:r>
              <w:rPr>
                <w:rFonts w:ascii="Times New Roman" w:hAnsi="Times New Roman"/>
                <w:sz w:val="18"/>
                <w:szCs w:val="18"/>
                <w:lang w:val="ro-RO" w:eastAsia="ru-RU"/>
              </w:rPr>
              <w:t>ă)</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527.6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527.6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545.0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103.3</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17.4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17.4</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115/00</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i/>
                <w:sz w:val="18"/>
                <w:szCs w:val="18"/>
                <w:lang w:val="ro-RO" w:eastAsia="ru-RU"/>
              </w:rPr>
            </w:pPr>
            <w:r w:rsidRPr="00A1503F">
              <w:rPr>
                <w:rFonts w:ascii="Times New Roman" w:hAnsi="Times New Roman"/>
                <w:i/>
                <w:sz w:val="18"/>
                <w:szCs w:val="18"/>
                <w:lang w:val="ro-RO" w:eastAsia="ru-RU"/>
              </w:rPr>
              <w:t xml:space="preserve">Impozite interne pe mărfuri </w:t>
            </w:r>
            <w:r>
              <w:rPr>
                <w:rFonts w:ascii="Times New Roman" w:hAnsi="Times New Roman"/>
                <w:i/>
                <w:sz w:val="18"/>
                <w:szCs w:val="18"/>
                <w:lang w:val="ro-RO" w:eastAsia="ru-RU"/>
              </w:rPr>
              <w:t>ș</w:t>
            </w:r>
            <w:r w:rsidRPr="00A1503F">
              <w:rPr>
                <w:rFonts w:ascii="Times New Roman" w:hAnsi="Times New Roman"/>
                <w:i/>
                <w:sz w:val="18"/>
                <w:szCs w:val="18"/>
                <w:lang w:val="ro-RO" w:eastAsia="ru-RU"/>
              </w:rPr>
              <w:t xml:space="preserve">i servicii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5092.2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5112.9</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4283.1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83.8</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-829.8</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-809.1</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20.7</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115/04</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Impozitul privat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26.0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26.2</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0.2</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20.9</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20.7</w:t>
            </w:r>
          </w:p>
        </w:tc>
      </w:tr>
      <w:tr w:rsidR="00F24302" w:rsidRPr="00C91C05" w:rsidTr="006B6AE0">
        <w:trPr>
          <w:trHeight w:val="436"/>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115/39</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pentru prestarea serviciilor de transport auto pe teritoriul municipiilor, ora</w:t>
            </w:r>
            <w:r w:rsidRPr="0098198B">
              <w:rPr>
                <w:rFonts w:ascii="Times New Roman" w:hAnsi="Times New Roman"/>
                <w:sz w:val="18"/>
                <w:szCs w:val="18"/>
                <w:lang w:val="ro-RO" w:eastAsia="ru-RU"/>
              </w:rPr>
              <w:t>ș</w:t>
            </w:r>
            <w:r w:rsidRPr="00A1503F">
              <w:rPr>
                <w:rFonts w:ascii="Times New Roman" w:hAnsi="Times New Roman"/>
                <w:sz w:val="18"/>
                <w:szCs w:val="18"/>
                <w:lang w:val="ro-RO" w:eastAsia="ru-RU"/>
              </w:rPr>
              <w:t xml:space="preserve">elor </w:t>
            </w:r>
            <w:r>
              <w:rPr>
                <w:rFonts w:ascii="Times New Roman" w:hAnsi="Times New Roman"/>
                <w:sz w:val="18"/>
                <w:szCs w:val="18"/>
                <w:lang w:val="ro-RO" w:eastAsia="ru-RU"/>
              </w:rPr>
              <w:t>ș</w:t>
            </w:r>
            <w:r w:rsidRPr="00A1503F">
              <w:rPr>
                <w:rFonts w:ascii="Times New Roman" w:hAnsi="Times New Roman"/>
                <w:sz w:val="18"/>
                <w:szCs w:val="18"/>
                <w:lang w:val="ro-RO" w:eastAsia="ru-RU"/>
              </w:rPr>
              <w:t>i satelor</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61.2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61.2</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63.0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102.9</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115/41</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de plasare</w:t>
            </w:r>
            <w:r>
              <w:rPr>
                <w:rFonts w:ascii="Times New Roman" w:hAnsi="Times New Roman"/>
                <w:sz w:val="18"/>
                <w:szCs w:val="18"/>
                <w:lang w:val="ro-RO" w:eastAsia="ru-RU"/>
              </w:rPr>
              <w:t xml:space="preserve"> </w:t>
            </w:r>
            <w:r w:rsidRPr="00A1503F">
              <w:rPr>
                <w:rFonts w:ascii="Times New Roman" w:hAnsi="Times New Roman"/>
                <w:sz w:val="18"/>
                <w:szCs w:val="18"/>
                <w:lang w:val="ro-RO" w:eastAsia="ru-RU"/>
              </w:rPr>
              <w:t>(amplasare) a publicită</w:t>
            </w:r>
            <w:r w:rsidRPr="0098198B">
              <w:rPr>
                <w:rFonts w:ascii="Times New Roman" w:hAnsi="Times New Roman"/>
                <w:sz w:val="18"/>
                <w:szCs w:val="18"/>
                <w:lang w:val="ro-RO" w:eastAsia="ru-RU"/>
              </w:rPr>
              <w:t>ț</w:t>
            </w:r>
            <w:r w:rsidRPr="00A1503F">
              <w:rPr>
                <w:rFonts w:ascii="Times New Roman" w:hAnsi="Times New Roman"/>
                <w:sz w:val="18"/>
                <w:szCs w:val="18"/>
                <w:lang w:val="ro-RO" w:eastAsia="ru-RU"/>
              </w:rPr>
              <w:t>ii</w:t>
            </w:r>
            <w:r>
              <w:rPr>
                <w:rFonts w:ascii="Times New Roman" w:hAnsi="Times New Roman"/>
                <w:sz w:val="18"/>
                <w:szCs w:val="18"/>
                <w:lang w:val="ro-RO" w:eastAsia="ru-RU"/>
              </w:rPr>
              <w:t xml:space="preserve"> </w:t>
            </w:r>
            <w:r w:rsidRPr="00A1503F">
              <w:rPr>
                <w:rFonts w:ascii="Times New Roman" w:hAnsi="Times New Roman"/>
                <w:sz w:val="18"/>
                <w:szCs w:val="18"/>
                <w:lang w:val="ro-RO" w:eastAsia="ru-RU"/>
              </w:rPr>
              <w:t xml:space="preserve">(reclamei)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-0.9</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-0.9</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525"/>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115/44</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pentru folosirea drumurilor de către autovehiculele înmatriculate </w:t>
            </w:r>
            <w:r>
              <w:rPr>
                <w:rFonts w:ascii="Times New Roman" w:hAnsi="Times New Roman"/>
                <w:sz w:val="18"/>
                <w:szCs w:val="18"/>
                <w:lang w:val="ro-RO" w:eastAsia="ru-RU"/>
              </w:rPr>
              <w:t>î</w:t>
            </w:r>
            <w:r w:rsidRPr="00A1503F">
              <w:rPr>
                <w:rFonts w:ascii="Times New Roman" w:hAnsi="Times New Roman"/>
                <w:sz w:val="18"/>
                <w:szCs w:val="18"/>
                <w:lang w:val="ro-RO" w:eastAsia="ru-RU"/>
              </w:rPr>
              <w:t xml:space="preserve">n Republica Moldova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4750.0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4750.0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3863.2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81.3</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-886.8</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-886.8</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p>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115/51</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pentru ap</w:t>
            </w:r>
            <w:r>
              <w:rPr>
                <w:rFonts w:ascii="Times New Roman" w:hAnsi="Times New Roman"/>
                <w:sz w:val="18"/>
                <w:szCs w:val="18"/>
                <w:lang w:val="ro-RO" w:eastAsia="ru-RU"/>
              </w:rPr>
              <w:t>ă</w:t>
            </w:r>
            <w:r w:rsidRPr="00A1503F">
              <w:rPr>
                <w:rFonts w:ascii="Times New Roman" w:hAnsi="Times New Roman"/>
                <w:sz w:val="18"/>
                <w:szCs w:val="18"/>
                <w:lang w:val="ro-RO" w:eastAsia="ru-RU"/>
              </w:rPr>
              <w:t xml:space="preser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226.7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226.7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280.0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123.5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53.3</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53.3</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332"/>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115/56</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de organizare a licita</w:t>
            </w:r>
            <w:r w:rsidRPr="0098198B">
              <w:rPr>
                <w:rFonts w:ascii="Times New Roman" w:hAnsi="Times New Roman"/>
                <w:sz w:val="18"/>
                <w:szCs w:val="18"/>
                <w:lang w:val="ro-RO" w:eastAsia="ru-RU"/>
              </w:rPr>
              <w:t>ț</w:t>
            </w:r>
            <w:r w:rsidRPr="00A1503F">
              <w:rPr>
                <w:rFonts w:ascii="Times New Roman" w:hAnsi="Times New Roman"/>
                <w:sz w:val="18"/>
                <w:szCs w:val="18"/>
                <w:lang w:val="ro-RO" w:eastAsia="ru-RU"/>
              </w:rPr>
              <w:t xml:space="preserve">iilor </w:t>
            </w:r>
            <w:r>
              <w:rPr>
                <w:rFonts w:ascii="Times New Roman" w:hAnsi="Times New Roman"/>
                <w:sz w:val="18"/>
                <w:szCs w:val="18"/>
                <w:lang w:val="ro-RO" w:eastAsia="ru-RU"/>
              </w:rPr>
              <w:t>ș</w:t>
            </w:r>
            <w:r w:rsidRPr="00A1503F">
              <w:rPr>
                <w:rFonts w:ascii="Times New Roman" w:hAnsi="Times New Roman"/>
                <w:sz w:val="18"/>
                <w:szCs w:val="18"/>
                <w:lang w:val="ro-RO" w:eastAsia="ru-RU"/>
              </w:rPr>
              <w:t>i loteriilor pe teritoriul unită</w:t>
            </w:r>
            <w:r w:rsidRPr="0098198B">
              <w:rPr>
                <w:rFonts w:ascii="Times New Roman" w:hAnsi="Times New Roman"/>
                <w:sz w:val="18"/>
                <w:szCs w:val="18"/>
                <w:lang w:val="ro-RO" w:eastAsia="ru-RU"/>
              </w:rPr>
              <w:t>ț</w:t>
            </w:r>
            <w:r w:rsidRPr="00A1503F">
              <w:rPr>
                <w:rFonts w:ascii="Times New Roman" w:hAnsi="Times New Roman"/>
                <w:sz w:val="18"/>
                <w:szCs w:val="18"/>
                <w:lang w:val="ro-RO" w:eastAsia="ru-RU"/>
              </w:rPr>
              <w:t xml:space="preserve">ii administrativ-teritoriale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15.5</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155.0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5.5</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5.5</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198"/>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115/57</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Pl</w:t>
            </w:r>
            <w:r>
              <w:rPr>
                <w:rFonts w:ascii="Times New Roman" w:hAnsi="Times New Roman"/>
                <w:sz w:val="18"/>
                <w:szCs w:val="18"/>
                <w:lang w:val="ro-RO" w:eastAsia="ru-RU"/>
              </w:rPr>
              <w:t>ă</w:t>
            </w:r>
            <w:r w:rsidRPr="0098198B">
              <w:rPr>
                <w:rFonts w:ascii="Times New Roman" w:hAnsi="Times New Roman"/>
                <w:sz w:val="18"/>
                <w:szCs w:val="18"/>
                <w:lang w:val="ro-RO" w:eastAsia="ru-RU"/>
              </w:rPr>
              <w:t>ț</w:t>
            </w:r>
            <w:r w:rsidRPr="00A1503F">
              <w:rPr>
                <w:rFonts w:ascii="Times New Roman" w:hAnsi="Times New Roman"/>
                <w:sz w:val="18"/>
                <w:szCs w:val="18"/>
                <w:lang w:val="ro-RO" w:eastAsia="ru-RU"/>
              </w:rPr>
              <w:t xml:space="preserve">i pentru certificatele de urbanism </w:t>
            </w:r>
            <w:r>
              <w:rPr>
                <w:rFonts w:ascii="Times New Roman" w:hAnsi="Times New Roman"/>
                <w:sz w:val="18"/>
                <w:szCs w:val="18"/>
                <w:lang w:val="ro-RO" w:eastAsia="ru-RU"/>
              </w:rPr>
              <w:t>ș</w:t>
            </w:r>
            <w:r w:rsidRPr="00A1503F">
              <w:rPr>
                <w:rFonts w:ascii="Times New Roman" w:hAnsi="Times New Roman"/>
                <w:sz w:val="18"/>
                <w:szCs w:val="18"/>
                <w:lang w:val="ro-RO" w:eastAsia="ru-RU"/>
              </w:rPr>
              <w:t>i autorizările de construire sau desfiin</w:t>
            </w:r>
            <w:r w:rsidRPr="0098198B">
              <w:rPr>
                <w:rFonts w:ascii="Times New Roman" w:hAnsi="Times New Roman"/>
                <w:sz w:val="18"/>
                <w:szCs w:val="18"/>
                <w:lang w:val="ro-RO" w:eastAsia="ru-RU"/>
              </w:rPr>
              <w:t>ț</w:t>
            </w:r>
            <w:r w:rsidRPr="00A1503F">
              <w:rPr>
                <w:rFonts w:ascii="Times New Roman" w:hAnsi="Times New Roman"/>
                <w:sz w:val="18"/>
                <w:szCs w:val="18"/>
                <w:lang w:val="ro-RO" w:eastAsia="ru-RU"/>
              </w:rPr>
              <w:t>are</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38.0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38.0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35.1</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92.4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-2.9</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-2.9</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34"/>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121/00</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i/>
                <w:sz w:val="18"/>
                <w:szCs w:val="18"/>
                <w:lang w:val="ro-RO" w:eastAsia="ru-RU"/>
              </w:rPr>
            </w:pPr>
            <w:r w:rsidRPr="00A1503F">
              <w:rPr>
                <w:rFonts w:ascii="Times New Roman" w:hAnsi="Times New Roman"/>
                <w:i/>
                <w:sz w:val="18"/>
                <w:szCs w:val="18"/>
                <w:lang w:val="ro-RO" w:eastAsia="ru-RU"/>
              </w:rPr>
              <w:t xml:space="preserve">Alte venituri din activitatea de întreprinzător </w:t>
            </w:r>
            <w:r>
              <w:rPr>
                <w:rFonts w:ascii="Times New Roman" w:hAnsi="Times New Roman"/>
                <w:i/>
                <w:sz w:val="18"/>
                <w:szCs w:val="18"/>
                <w:lang w:val="ro-RO" w:eastAsia="ru-RU"/>
              </w:rPr>
              <w:t>ș</w:t>
            </w:r>
            <w:r w:rsidRPr="00A1503F">
              <w:rPr>
                <w:rFonts w:ascii="Times New Roman" w:hAnsi="Times New Roman"/>
                <w:i/>
                <w:sz w:val="18"/>
                <w:szCs w:val="18"/>
                <w:lang w:val="ro-RO" w:eastAsia="ru-RU"/>
              </w:rPr>
              <w:t xml:space="preserve">i din proprietate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1897.9</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1916.2</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2637.0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0.9</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137.6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720.8</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739.1</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18.3</w:t>
            </w:r>
          </w:p>
        </w:tc>
      </w:tr>
      <w:tr w:rsidR="00F24302" w:rsidRPr="00C91C05" w:rsidTr="006B6AE0">
        <w:trPr>
          <w:trHeight w:val="275"/>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121/12</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Dob</w:t>
            </w:r>
            <w:r>
              <w:rPr>
                <w:rFonts w:ascii="Times New Roman" w:hAnsi="Times New Roman"/>
                <w:sz w:val="18"/>
                <w:szCs w:val="18"/>
                <w:lang w:val="ro-RO" w:eastAsia="ru-RU"/>
              </w:rPr>
              <w:t>î</w:t>
            </w:r>
            <w:r w:rsidRPr="00A1503F">
              <w:rPr>
                <w:rFonts w:ascii="Times New Roman" w:hAnsi="Times New Roman"/>
                <w:sz w:val="18"/>
                <w:szCs w:val="18"/>
                <w:lang w:val="ro-RO" w:eastAsia="ru-RU"/>
              </w:rPr>
              <w:t xml:space="preserve">nzile aferente soldurilor mijloacelor bugetare la conturile bancare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9.8</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28.2</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234.1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830.1</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205.9</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224.3</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18.4</w:t>
            </w:r>
          </w:p>
        </w:tc>
      </w:tr>
      <w:tr w:rsidR="00F24302" w:rsidRPr="00C91C05" w:rsidTr="006B6AE0">
        <w:trPr>
          <w:trHeight w:val="353"/>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lastRenderedPageBreak/>
              <w:t>121/16</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Dob</w:t>
            </w:r>
            <w:r>
              <w:rPr>
                <w:rFonts w:ascii="Times New Roman" w:hAnsi="Times New Roman"/>
                <w:sz w:val="18"/>
                <w:szCs w:val="18"/>
                <w:lang w:val="ro-RO" w:eastAsia="ru-RU"/>
              </w:rPr>
              <w:t>î</w:t>
            </w:r>
            <w:r w:rsidRPr="00C91C05">
              <w:rPr>
                <w:rFonts w:ascii="Times New Roman" w:hAnsi="Times New Roman"/>
                <w:sz w:val="18"/>
                <w:szCs w:val="18"/>
                <w:lang w:val="ro-RO" w:eastAsia="ru-RU"/>
              </w:rPr>
              <w:t>nzi aferente solduril</w:t>
            </w:r>
            <w:r>
              <w:rPr>
                <w:rFonts w:ascii="Times New Roman" w:hAnsi="Times New Roman"/>
                <w:sz w:val="18"/>
                <w:szCs w:val="18"/>
                <w:lang w:val="ro-RO" w:eastAsia="ru-RU"/>
              </w:rPr>
              <w:t>or</w:t>
            </w:r>
            <w:r w:rsidRPr="00C91C05">
              <w:rPr>
                <w:rFonts w:ascii="Times New Roman" w:hAnsi="Times New Roman"/>
                <w:sz w:val="18"/>
                <w:szCs w:val="18"/>
                <w:lang w:val="ro-RO" w:eastAsia="ru-RU"/>
              </w:rPr>
              <w:t xml:space="preserve"> mijloacelor b</w:t>
            </w:r>
            <w:r>
              <w:rPr>
                <w:rFonts w:ascii="Times New Roman" w:hAnsi="Times New Roman"/>
                <w:sz w:val="18"/>
                <w:szCs w:val="18"/>
                <w:lang w:val="ro-RO" w:eastAsia="ru-RU"/>
              </w:rPr>
              <w:t>ă</w:t>
            </w:r>
            <w:r w:rsidRPr="00C91C05">
              <w:rPr>
                <w:rFonts w:ascii="Times New Roman" w:hAnsi="Times New Roman"/>
                <w:sz w:val="18"/>
                <w:szCs w:val="18"/>
                <w:lang w:val="ro-RO" w:eastAsia="ru-RU"/>
              </w:rPr>
              <w:t>nești din conturile bancare ale proiectelor finan</w:t>
            </w:r>
            <w:r>
              <w:rPr>
                <w:rFonts w:ascii="Times New Roman" w:hAnsi="Times New Roman"/>
                <w:sz w:val="18"/>
                <w:szCs w:val="18"/>
                <w:lang w:val="ro-RO" w:eastAsia="ru-RU"/>
              </w:rPr>
              <w:t>ț</w:t>
            </w:r>
            <w:r w:rsidRPr="00C91C05">
              <w:rPr>
                <w:rFonts w:ascii="Times New Roman" w:hAnsi="Times New Roman"/>
                <w:sz w:val="18"/>
                <w:szCs w:val="18"/>
                <w:lang w:val="ro-RO" w:eastAsia="ru-RU"/>
              </w:rPr>
              <w:t>ate</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2.8</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2.8</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2.8</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7"/>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121/31</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Arenda pentru resursele naturale</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18.3</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54.0</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295.1</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35.7</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35.7</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155"/>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121/32</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Plata pentru arenda pentru terenurile cu destina</w:t>
            </w:r>
            <w:r w:rsidRPr="00BA7B0D">
              <w:rPr>
                <w:rFonts w:ascii="Times New Roman" w:hAnsi="Times New Roman"/>
                <w:sz w:val="18"/>
                <w:szCs w:val="18"/>
                <w:lang w:val="ro-RO" w:eastAsia="ru-RU"/>
              </w:rPr>
              <w:t>ț</w:t>
            </w:r>
            <w:r w:rsidRPr="00A1503F">
              <w:rPr>
                <w:rFonts w:ascii="Times New Roman" w:hAnsi="Times New Roman"/>
                <w:sz w:val="18"/>
                <w:szCs w:val="18"/>
                <w:lang w:val="ro-RO" w:eastAsia="ru-RU"/>
              </w:rPr>
              <w:t>ie agricol</w:t>
            </w:r>
            <w:r>
              <w:rPr>
                <w:rFonts w:ascii="Times New Roman" w:hAnsi="Times New Roman"/>
                <w:sz w:val="18"/>
                <w:szCs w:val="18"/>
                <w:lang w:val="ro-RO" w:eastAsia="ru-RU"/>
              </w:rPr>
              <w:t>ă</w:t>
            </w:r>
            <w:r w:rsidRPr="00A1503F">
              <w:rPr>
                <w:rFonts w:ascii="Times New Roman" w:hAnsi="Times New Roman"/>
                <w:sz w:val="18"/>
                <w:szCs w:val="18"/>
                <w:lang w:val="ro-RO" w:eastAsia="ru-RU"/>
              </w:rPr>
              <w:t xml:space="preser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837.6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811.0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1118.7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137.9</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307.7</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281.1</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-26.6</w:t>
            </w:r>
          </w:p>
        </w:tc>
      </w:tr>
      <w:tr w:rsidR="00F24302" w:rsidRPr="00C91C05" w:rsidTr="006B6AE0">
        <w:trPr>
          <w:trHeight w:val="204"/>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121/33</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Plata pentru arenda pentru terenurile cu o alt</w:t>
            </w:r>
            <w:r>
              <w:rPr>
                <w:rFonts w:ascii="Times New Roman" w:hAnsi="Times New Roman"/>
                <w:sz w:val="18"/>
                <w:szCs w:val="18"/>
                <w:lang w:val="ro-RO" w:eastAsia="ru-RU"/>
              </w:rPr>
              <w:t>ă</w:t>
            </w:r>
            <w:r w:rsidRPr="00A1503F">
              <w:rPr>
                <w:rFonts w:ascii="Times New Roman" w:hAnsi="Times New Roman"/>
                <w:sz w:val="18"/>
                <w:szCs w:val="18"/>
                <w:lang w:val="ro-RO" w:eastAsia="ru-RU"/>
              </w:rPr>
              <w:t xml:space="preserve"> destina</w:t>
            </w:r>
            <w:r w:rsidRPr="00BA7B0D">
              <w:rPr>
                <w:rFonts w:ascii="Times New Roman" w:hAnsi="Times New Roman"/>
                <w:sz w:val="18"/>
                <w:szCs w:val="18"/>
                <w:lang w:val="ro-RO" w:eastAsia="ru-RU"/>
              </w:rPr>
              <w:t>ț</w:t>
            </w:r>
            <w:r w:rsidRPr="00A1503F">
              <w:rPr>
                <w:rFonts w:ascii="Times New Roman" w:hAnsi="Times New Roman"/>
                <w:sz w:val="18"/>
                <w:szCs w:val="18"/>
                <w:lang w:val="ro-RO" w:eastAsia="ru-RU"/>
              </w:rPr>
              <w:t>ie</w:t>
            </w:r>
            <w:r>
              <w:rPr>
                <w:rFonts w:ascii="Times New Roman" w:hAnsi="Times New Roman"/>
                <w:sz w:val="18"/>
                <w:szCs w:val="18"/>
                <w:lang w:val="ro-RO" w:eastAsia="ru-RU"/>
              </w:rPr>
              <w:t xml:space="preserve"> </w:t>
            </w:r>
            <w:r w:rsidRPr="00A1503F">
              <w:rPr>
                <w:rFonts w:ascii="Times New Roman" w:hAnsi="Times New Roman"/>
                <w:sz w:val="18"/>
                <w:szCs w:val="18"/>
                <w:lang w:val="ro-RO" w:eastAsia="ru-RU"/>
              </w:rPr>
              <w:t>dec</w:t>
            </w:r>
            <w:r>
              <w:rPr>
                <w:rFonts w:ascii="Times New Roman" w:hAnsi="Times New Roman"/>
                <w:sz w:val="18"/>
                <w:szCs w:val="18"/>
                <w:lang w:val="ro-RO" w:eastAsia="ru-RU"/>
              </w:rPr>
              <w:t>î</w:t>
            </w:r>
            <w:r w:rsidRPr="00A1503F">
              <w:rPr>
                <w:rFonts w:ascii="Times New Roman" w:hAnsi="Times New Roman"/>
                <w:sz w:val="18"/>
                <w:szCs w:val="18"/>
                <w:lang w:val="ro-RO" w:eastAsia="ru-RU"/>
              </w:rPr>
              <w:t>t cea agricol</w:t>
            </w:r>
            <w:r>
              <w:rPr>
                <w:rFonts w:ascii="Times New Roman" w:hAnsi="Times New Roman"/>
                <w:sz w:val="18"/>
                <w:szCs w:val="18"/>
                <w:lang w:val="ro-RO" w:eastAsia="ru-RU"/>
              </w:rPr>
              <w:t>ă</w:t>
            </w:r>
            <w:r w:rsidRPr="00A1503F">
              <w:rPr>
                <w:rFonts w:ascii="Times New Roman" w:hAnsi="Times New Roman"/>
                <w:sz w:val="18"/>
                <w:szCs w:val="18"/>
                <w:lang w:val="ro-RO" w:eastAsia="ru-RU"/>
              </w:rPr>
              <w:t xml:space="preser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588.7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607.9</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611.9</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23.2</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19.2</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121/35</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Chiria bunurilor proprietate public</w:t>
            </w:r>
            <w:r>
              <w:rPr>
                <w:rFonts w:ascii="Times New Roman" w:hAnsi="Times New Roman"/>
                <w:sz w:val="18"/>
                <w:szCs w:val="18"/>
                <w:lang w:val="ro-RO" w:eastAsia="ru-RU"/>
              </w:rPr>
              <w:t>ă</w:t>
            </w:r>
            <w:r w:rsidRPr="00A1503F">
              <w:rPr>
                <w:rFonts w:ascii="Times New Roman" w:hAnsi="Times New Roman"/>
                <w:sz w:val="18"/>
                <w:szCs w:val="18"/>
                <w:lang w:val="ro-RO" w:eastAsia="ru-RU"/>
              </w:rPr>
              <w:t xml:space="preser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107.8</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107.8</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199.9</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185.4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92.1</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92.1</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121/36</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Alte venituri din proprietate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0.9</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121/37</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pentru patenta de întreprinzător</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335.2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342.5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414.7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121.1</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72.2</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79.5</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7.3</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122/00</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i/>
                <w:sz w:val="18"/>
                <w:szCs w:val="18"/>
                <w:lang w:val="ro-RO" w:eastAsia="ru-RU"/>
              </w:rPr>
            </w:pPr>
            <w:r w:rsidRPr="00A1503F">
              <w:rPr>
                <w:rFonts w:ascii="Times New Roman" w:hAnsi="Times New Roman"/>
                <w:i/>
                <w:sz w:val="18"/>
                <w:szCs w:val="18"/>
                <w:lang w:val="ro-RO" w:eastAsia="ru-RU"/>
              </w:rPr>
              <w:t xml:space="preserve">Taxele </w:t>
            </w:r>
            <w:r>
              <w:rPr>
                <w:rFonts w:ascii="Times New Roman" w:hAnsi="Times New Roman"/>
                <w:i/>
                <w:sz w:val="18"/>
                <w:szCs w:val="18"/>
                <w:lang w:val="ro-RO" w:eastAsia="ru-RU"/>
              </w:rPr>
              <w:t>ș</w:t>
            </w:r>
            <w:r w:rsidRPr="00A1503F">
              <w:rPr>
                <w:rFonts w:ascii="Times New Roman" w:hAnsi="Times New Roman"/>
                <w:i/>
                <w:sz w:val="18"/>
                <w:szCs w:val="18"/>
                <w:lang w:val="ro-RO" w:eastAsia="ru-RU"/>
              </w:rPr>
              <w:t>i plă</w:t>
            </w:r>
            <w:r w:rsidRPr="00BA7B0D">
              <w:rPr>
                <w:rFonts w:ascii="Times New Roman" w:hAnsi="Times New Roman"/>
                <w:i/>
                <w:sz w:val="18"/>
                <w:szCs w:val="18"/>
                <w:lang w:val="ro-RO" w:eastAsia="ru-RU"/>
              </w:rPr>
              <w:t>ț</w:t>
            </w:r>
            <w:r w:rsidRPr="00A1503F">
              <w:rPr>
                <w:rFonts w:ascii="Times New Roman" w:hAnsi="Times New Roman"/>
                <w:i/>
                <w:sz w:val="18"/>
                <w:szCs w:val="18"/>
                <w:lang w:val="ro-RO" w:eastAsia="ru-RU"/>
              </w:rPr>
              <w:t xml:space="preserve">ile administrative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3495.9</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3487.2</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3832.9</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109.9</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345.7</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337</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-8.7</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122/27</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de pia</w:t>
            </w:r>
            <w:r w:rsidRPr="00BA7B0D">
              <w:rPr>
                <w:rFonts w:ascii="Times New Roman" w:hAnsi="Times New Roman"/>
                <w:sz w:val="18"/>
                <w:szCs w:val="18"/>
                <w:lang w:val="ro-RO" w:eastAsia="ru-RU"/>
              </w:rPr>
              <w:t>ț</w:t>
            </w:r>
            <w:r>
              <w:rPr>
                <w:rFonts w:ascii="Times New Roman" w:hAnsi="Times New Roman"/>
                <w:sz w:val="18"/>
                <w:szCs w:val="18"/>
                <w:lang w:val="ro-RO" w:eastAsia="ru-RU"/>
              </w:rPr>
              <w:t>ă</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166.7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166.7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152.3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91.4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-14.4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-14.4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122/28</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pentru amenajarea teritoriului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656.3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656.3</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679.7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103.6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23.4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23.4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122/29</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pentru cazare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11.5</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176.9</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14"/>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122/30</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pentru unită</w:t>
            </w:r>
            <w:r w:rsidRPr="00BA7B0D">
              <w:rPr>
                <w:rFonts w:ascii="Times New Roman" w:hAnsi="Times New Roman"/>
                <w:sz w:val="18"/>
                <w:szCs w:val="18"/>
                <w:lang w:val="ro-RO" w:eastAsia="ru-RU"/>
              </w:rPr>
              <w:t>ț</w:t>
            </w:r>
            <w:r w:rsidRPr="00A1503F">
              <w:rPr>
                <w:rFonts w:ascii="Times New Roman" w:hAnsi="Times New Roman"/>
                <w:sz w:val="18"/>
                <w:szCs w:val="18"/>
                <w:lang w:val="ro-RO" w:eastAsia="ru-RU"/>
              </w:rPr>
              <w:t xml:space="preserve">ile comerciale </w:t>
            </w:r>
            <w:r>
              <w:rPr>
                <w:rFonts w:ascii="Times New Roman" w:hAnsi="Times New Roman"/>
                <w:sz w:val="18"/>
                <w:szCs w:val="18"/>
                <w:lang w:val="ro-RO" w:eastAsia="ru-RU"/>
              </w:rPr>
              <w:t>ș</w:t>
            </w:r>
            <w:r w:rsidRPr="00A1503F">
              <w:rPr>
                <w:rFonts w:ascii="Times New Roman" w:hAnsi="Times New Roman"/>
                <w:sz w:val="18"/>
                <w:szCs w:val="18"/>
                <w:lang w:val="ro-RO" w:eastAsia="ru-RU"/>
              </w:rPr>
              <w:t>i/sau de prestări servicii</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2537.7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2528.4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2869.3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113.5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341</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331.7</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-9,3</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122/34</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pentru parcare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0.9</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15.0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-5.1</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-5.1</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122/40</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Alte încasări</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53.0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53.6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54.0</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0.6</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122/68</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pentru salubrizare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12.0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12.0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7.4</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61.7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-4.6</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-4.6</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122/69</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Taxa pentru dispozitivele publicitare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57.7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57.7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57.7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123/00</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i/>
                <w:sz w:val="18"/>
                <w:szCs w:val="18"/>
                <w:lang w:val="ro-RO" w:eastAsia="ru-RU"/>
              </w:rPr>
            </w:pPr>
            <w:r w:rsidRPr="00A1503F">
              <w:rPr>
                <w:rFonts w:ascii="Times New Roman" w:hAnsi="Times New Roman"/>
                <w:i/>
                <w:sz w:val="18"/>
                <w:szCs w:val="18"/>
                <w:lang w:val="ro-RO" w:eastAsia="ru-RU"/>
              </w:rPr>
              <w:t xml:space="preserve">Amenzi </w:t>
            </w:r>
            <w:r>
              <w:rPr>
                <w:rFonts w:ascii="Times New Roman" w:hAnsi="Times New Roman"/>
                <w:i/>
                <w:sz w:val="18"/>
                <w:szCs w:val="18"/>
                <w:lang w:val="ro-RO" w:eastAsia="ru-RU"/>
              </w:rPr>
              <w:t>ș</w:t>
            </w:r>
            <w:r w:rsidRPr="00A1503F">
              <w:rPr>
                <w:rFonts w:ascii="Times New Roman" w:hAnsi="Times New Roman"/>
                <w:i/>
                <w:sz w:val="18"/>
                <w:szCs w:val="18"/>
                <w:lang w:val="ro-RO" w:eastAsia="ru-RU"/>
              </w:rPr>
              <w:t>i sanc</w:t>
            </w:r>
            <w:r w:rsidRPr="00BA7B0D">
              <w:rPr>
                <w:rFonts w:ascii="Times New Roman" w:hAnsi="Times New Roman"/>
                <w:i/>
                <w:sz w:val="18"/>
                <w:szCs w:val="18"/>
                <w:lang w:val="ro-RO" w:eastAsia="ru-RU"/>
              </w:rPr>
              <w:t>ț</w:t>
            </w:r>
            <w:r w:rsidRPr="00A1503F">
              <w:rPr>
                <w:rFonts w:ascii="Times New Roman" w:hAnsi="Times New Roman"/>
                <w:i/>
                <w:sz w:val="18"/>
                <w:szCs w:val="18"/>
                <w:lang w:val="ro-RO" w:eastAsia="ru-RU"/>
              </w:rPr>
              <w:t xml:space="preserve">iuni administrative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700.0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700.0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592.6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0.2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84.7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-107.4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-107.4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123/01</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Amenzi </w:t>
            </w:r>
            <w:r>
              <w:rPr>
                <w:rFonts w:ascii="Times New Roman" w:hAnsi="Times New Roman"/>
                <w:sz w:val="18"/>
                <w:szCs w:val="18"/>
                <w:lang w:val="ro-RO" w:eastAsia="ru-RU"/>
              </w:rPr>
              <w:t>ș</w:t>
            </w:r>
            <w:r w:rsidRPr="00A1503F">
              <w:rPr>
                <w:rFonts w:ascii="Times New Roman" w:hAnsi="Times New Roman"/>
                <w:sz w:val="18"/>
                <w:szCs w:val="18"/>
                <w:lang w:val="ro-RO" w:eastAsia="ru-RU"/>
              </w:rPr>
              <w:t>i sanc</w:t>
            </w:r>
            <w:r w:rsidRPr="00BA7B0D">
              <w:rPr>
                <w:rFonts w:ascii="Times New Roman" w:hAnsi="Times New Roman"/>
                <w:sz w:val="18"/>
                <w:szCs w:val="18"/>
                <w:lang w:val="ro-RO" w:eastAsia="ru-RU"/>
              </w:rPr>
              <w:t>ț</w:t>
            </w:r>
            <w:r w:rsidRPr="00A1503F">
              <w:rPr>
                <w:rFonts w:ascii="Times New Roman" w:hAnsi="Times New Roman"/>
                <w:sz w:val="18"/>
                <w:szCs w:val="18"/>
                <w:lang w:val="ro-RO" w:eastAsia="ru-RU"/>
              </w:rPr>
              <w:t xml:space="preserve">iuni administrative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630.0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630.0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557.9</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88.6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-72.1</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-72.1</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51"/>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123/03</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Amenzile aplicate de sec</w:t>
            </w:r>
            <w:r w:rsidRPr="00BA7B0D">
              <w:rPr>
                <w:rFonts w:ascii="Times New Roman" w:hAnsi="Times New Roman"/>
                <w:sz w:val="18"/>
                <w:szCs w:val="18"/>
                <w:lang w:val="ro-RO" w:eastAsia="ru-RU"/>
              </w:rPr>
              <w:t>ț</w:t>
            </w:r>
            <w:r w:rsidRPr="00A1503F">
              <w:rPr>
                <w:rFonts w:ascii="Times New Roman" w:hAnsi="Times New Roman"/>
                <w:sz w:val="18"/>
                <w:szCs w:val="18"/>
                <w:lang w:val="ro-RO" w:eastAsia="ru-RU"/>
              </w:rPr>
              <w:t xml:space="preserve">iile de supraveghere </w:t>
            </w:r>
            <w:r>
              <w:rPr>
                <w:rFonts w:ascii="Times New Roman" w:hAnsi="Times New Roman"/>
                <w:sz w:val="18"/>
                <w:szCs w:val="18"/>
                <w:lang w:val="ro-RO" w:eastAsia="ru-RU"/>
              </w:rPr>
              <w:t>ș</w:t>
            </w:r>
            <w:r w:rsidRPr="00A1503F">
              <w:rPr>
                <w:rFonts w:ascii="Times New Roman" w:hAnsi="Times New Roman"/>
                <w:sz w:val="18"/>
                <w:szCs w:val="18"/>
                <w:lang w:val="ro-RO" w:eastAsia="ru-RU"/>
              </w:rPr>
              <w:t>i control a</w:t>
            </w:r>
            <w:r>
              <w:rPr>
                <w:rFonts w:ascii="Times New Roman" w:hAnsi="Times New Roman"/>
                <w:sz w:val="18"/>
                <w:szCs w:val="18"/>
                <w:lang w:val="ro-RO" w:eastAsia="ru-RU"/>
              </w:rPr>
              <w:t>l</w:t>
            </w:r>
            <w:r w:rsidRPr="00A1503F">
              <w:rPr>
                <w:rFonts w:ascii="Times New Roman" w:hAnsi="Times New Roman"/>
                <w:sz w:val="18"/>
                <w:szCs w:val="18"/>
                <w:lang w:val="ro-RO" w:eastAsia="ru-RU"/>
              </w:rPr>
              <w:t xml:space="preserve"> traficului rutier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70.0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70.0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34.7</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49.6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-35.3</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-35.3</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151/01</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i/>
                <w:sz w:val="18"/>
                <w:szCs w:val="18"/>
                <w:lang w:val="ro-RO" w:eastAsia="ru-RU"/>
              </w:rPr>
            </w:pPr>
            <w:r w:rsidRPr="00A1503F">
              <w:rPr>
                <w:rFonts w:ascii="Times New Roman" w:hAnsi="Times New Roman"/>
                <w:i/>
                <w:sz w:val="18"/>
                <w:szCs w:val="18"/>
                <w:lang w:val="ro-RO" w:eastAsia="ru-RU"/>
              </w:rPr>
              <w:t xml:space="preserve"> Mijloace speciale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6430.5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7867.5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6973.5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88.6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-894.0</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543.0</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1437.0</w:t>
            </w:r>
          </w:p>
        </w:tc>
      </w:tr>
      <w:tr w:rsidR="00F24302" w:rsidRPr="00C91C05" w:rsidTr="006B6AE0">
        <w:trPr>
          <w:trHeight w:val="30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161/01</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i/>
                <w:sz w:val="18"/>
                <w:szCs w:val="18"/>
                <w:lang w:val="ro-RO" w:eastAsia="ru-RU"/>
              </w:rPr>
            </w:pPr>
            <w:r w:rsidRPr="00A1503F">
              <w:rPr>
                <w:rFonts w:ascii="Times New Roman" w:hAnsi="Times New Roman"/>
                <w:i/>
                <w:sz w:val="18"/>
                <w:szCs w:val="18"/>
                <w:lang w:val="ro-RO" w:eastAsia="ru-RU"/>
              </w:rPr>
              <w:t xml:space="preserve"> Veniturile fondurilor speciale (cu excep</w:t>
            </w:r>
            <w:r w:rsidRPr="00BA7B0D">
              <w:rPr>
                <w:rFonts w:ascii="Times New Roman" w:hAnsi="Times New Roman"/>
                <w:i/>
                <w:sz w:val="18"/>
                <w:szCs w:val="18"/>
                <w:lang w:val="ro-RO" w:eastAsia="ru-RU"/>
              </w:rPr>
              <w:t>ț</w:t>
            </w:r>
            <w:r w:rsidRPr="00A1503F">
              <w:rPr>
                <w:rFonts w:ascii="Times New Roman" w:hAnsi="Times New Roman"/>
                <w:i/>
                <w:sz w:val="18"/>
                <w:szCs w:val="18"/>
                <w:lang w:val="ro-RO" w:eastAsia="ru-RU"/>
              </w:rPr>
              <w:t xml:space="preserve">ia celor încasate de organul vamal)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55.0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55.0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59.8</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108.7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4.8</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4.8</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0</w:t>
            </w:r>
          </w:p>
        </w:tc>
      </w:tr>
      <w:tr w:rsidR="00F24302" w:rsidRPr="00C91C05" w:rsidTr="006B6AE0">
        <w:trPr>
          <w:trHeight w:val="277"/>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300</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Transferuri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204476.0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233421.4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218058.4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79.6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93.4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-15363</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13582.4</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28945.4</w:t>
            </w:r>
          </w:p>
        </w:tc>
      </w:tr>
      <w:tr w:rsidR="00F24302" w:rsidRPr="00C91C05" w:rsidTr="006B6AE0">
        <w:trPr>
          <w:trHeight w:val="28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310</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Transferuri pentru cheltuielile curente primite de la bugete de alt nivel</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rPr>
                <w:rFonts w:ascii="Times New Roman" w:hAnsi="Times New Roman"/>
                <w:sz w:val="18"/>
                <w:szCs w:val="18"/>
                <w:highlight w:val="yellow"/>
                <w:lang w:val="ro-RO" w:eastAsia="ru-RU"/>
              </w:rPr>
            </w:pPr>
            <w:r w:rsidRPr="00C91C05">
              <w:rPr>
                <w:rFonts w:ascii="Times New Roman" w:hAnsi="Times New Roman"/>
                <w:sz w:val="18"/>
                <w:szCs w:val="18"/>
                <w:lang w:val="ro-RO" w:eastAsia="ru-RU"/>
              </w:rPr>
              <w:t>201308.6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201995.0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186632.1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68.1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92.4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-15362.9</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-14676.5</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686.4</w:t>
            </w:r>
          </w:p>
        </w:tc>
      </w:tr>
      <w:tr w:rsidR="00F24302" w:rsidRPr="00C91C05" w:rsidTr="006B6AE0">
        <w:trPr>
          <w:trHeight w:val="27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311</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i/>
                <w:sz w:val="18"/>
                <w:szCs w:val="18"/>
                <w:lang w:val="ro-RO" w:eastAsia="ru-RU"/>
              </w:rPr>
            </w:pPr>
            <w:r w:rsidRPr="00A1503F">
              <w:rPr>
                <w:rFonts w:ascii="Times New Roman" w:hAnsi="Times New Roman"/>
                <w:i/>
                <w:sz w:val="18"/>
                <w:szCs w:val="18"/>
                <w:lang w:val="ro-RO" w:eastAsia="ru-RU"/>
              </w:rPr>
              <w:t>Transferuri curente de la bugetul de stat</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33991.6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33991.6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29036.1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85.4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-4955.5</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-4955.5</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0</w:t>
            </w:r>
          </w:p>
        </w:tc>
      </w:tr>
      <w:tr w:rsidR="00F24302" w:rsidRPr="00C91C05" w:rsidTr="006B6AE0">
        <w:trPr>
          <w:trHeight w:val="403"/>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311/06</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 xml:space="preserve"> Transferuri cu destina</w:t>
            </w:r>
            <w:r>
              <w:rPr>
                <w:rFonts w:ascii="Times New Roman" w:hAnsi="Times New Roman"/>
                <w:sz w:val="18"/>
                <w:szCs w:val="18"/>
                <w:lang w:val="ro-RO" w:eastAsia="ru-RU"/>
              </w:rPr>
              <w:t>ț</w:t>
            </w:r>
            <w:r w:rsidRPr="00A1503F">
              <w:rPr>
                <w:rFonts w:ascii="Times New Roman" w:hAnsi="Times New Roman"/>
                <w:sz w:val="18"/>
                <w:szCs w:val="18"/>
                <w:lang w:val="ro-RO" w:eastAsia="ru-RU"/>
              </w:rPr>
              <w:t>ie general</w:t>
            </w:r>
            <w:r>
              <w:rPr>
                <w:rFonts w:ascii="Times New Roman" w:hAnsi="Times New Roman"/>
                <w:sz w:val="18"/>
                <w:szCs w:val="18"/>
                <w:lang w:val="ro-RO" w:eastAsia="ru-RU"/>
              </w:rPr>
              <w:t>ă</w:t>
            </w:r>
            <w:r w:rsidRPr="00A1503F">
              <w:rPr>
                <w:rFonts w:ascii="Times New Roman" w:hAnsi="Times New Roman"/>
                <w:sz w:val="18"/>
                <w:szCs w:val="18"/>
                <w:lang w:val="ro-RO" w:eastAsia="ru-RU"/>
              </w:rPr>
              <w:t xml:space="preserve"> de la bugetul de stat c</w:t>
            </w:r>
            <w:r>
              <w:rPr>
                <w:rFonts w:ascii="Times New Roman" w:hAnsi="Times New Roman"/>
                <w:sz w:val="18"/>
                <w:szCs w:val="18"/>
                <w:lang w:val="ro-RO" w:eastAsia="ru-RU"/>
              </w:rPr>
              <w:t>ă</w:t>
            </w:r>
            <w:r w:rsidRPr="00A1503F">
              <w:rPr>
                <w:rFonts w:ascii="Times New Roman" w:hAnsi="Times New Roman"/>
                <w:sz w:val="18"/>
                <w:szCs w:val="18"/>
                <w:lang w:val="ro-RO" w:eastAsia="ru-RU"/>
              </w:rPr>
              <w:t>tre bugetele unit</w:t>
            </w:r>
            <w:r>
              <w:rPr>
                <w:rFonts w:ascii="Times New Roman" w:hAnsi="Times New Roman"/>
                <w:sz w:val="18"/>
                <w:szCs w:val="18"/>
                <w:lang w:val="ro-RO" w:eastAsia="ru-RU"/>
              </w:rPr>
              <w:t>ăț</w:t>
            </w:r>
            <w:r w:rsidRPr="00A1503F">
              <w:rPr>
                <w:rFonts w:ascii="Times New Roman" w:hAnsi="Times New Roman"/>
                <w:sz w:val="18"/>
                <w:szCs w:val="18"/>
                <w:lang w:val="ro-RO" w:eastAsia="ru-RU"/>
              </w:rPr>
              <w:t>ilor administrativ-teritorial</w:t>
            </w:r>
            <w:r>
              <w:rPr>
                <w:rFonts w:ascii="Times New Roman" w:hAnsi="Times New Roman"/>
                <w:sz w:val="18"/>
                <w:szCs w:val="18"/>
                <w:lang w:val="ro-RO" w:eastAsia="ru-RU"/>
              </w:rPr>
              <w:t>e</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19823.5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19823.5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14868.0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75.0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-4955.5</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-4955.5</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408"/>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311/07</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Transferuri cu destina</w:t>
            </w:r>
            <w:r>
              <w:rPr>
                <w:rFonts w:ascii="Times New Roman" w:hAnsi="Times New Roman"/>
                <w:sz w:val="18"/>
                <w:szCs w:val="18"/>
                <w:lang w:val="ro-RO" w:eastAsia="ru-RU"/>
              </w:rPr>
              <w:t>ț</w:t>
            </w:r>
            <w:r w:rsidRPr="00A1503F">
              <w:rPr>
                <w:rFonts w:ascii="Times New Roman" w:hAnsi="Times New Roman"/>
                <w:sz w:val="18"/>
                <w:szCs w:val="18"/>
                <w:lang w:val="ro-RO" w:eastAsia="ru-RU"/>
              </w:rPr>
              <w:t>ie general</w:t>
            </w:r>
            <w:r>
              <w:rPr>
                <w:rFonts w:ascii="Times New Roman" w:hAnsi="Times New Roman"/>
                <w:sz w:val="18"/>
                <w:szCs w:val="18"/>
                <w:lang w:val="ro-RO" w:eastAsia="ru-RU"/>
              </w:rPr>
              <w:t>ă</w:t>
            </w:r>
            <w:r w:rsidRPr="00A1503F">
              <w:rPr>
                <w:rFonts w:ascii="Times New Roman" w:hAnsi="Times New Roman"/>
                <w:sz w:val="18"/>
                <w:szCs w:val="18"/>
                <w:lang w:val="ro-RO" w:eastAsia="ru-RU"/>
              </w:rPr>
              <w:t xml:space="preserve"> de la bugetul de stat c</w:t>
            </w:r>
            <w:r>
              <w:rPr>
                <w:rFonts w:ascii="Times New Roman" w:hAnsi="Times New Roman"/>
                <w:sz w:val="18"/>
                <w:szCs w:val="18"/>
                <w:lang w:val="ro-RO" w:eastAsia="ru-RU"/>
              </w:rPr>
              <w:t>ă</w:t>
            </w:r>
            <w:r w:rsidRPr="00A1503F">
              <w:rPr>
                <w:rFonts w:ascii="Times New Roman" w:hAnsi="Times New Roman"/>
                <w:sz w:val="18"/>
                <w:szCs w:val="18"/>
                <w:lang w:val="ro-RO" w:eastAsia="ru-RU"/>
              </w:rPr>
              <w:t>tre bugetele unit</w:t>
            </w:r>
            <w:r>
              <w:rPr>
                <w:rFonts w:ascii="Times New Roman" w:hAnsi="Times New Roman"/>
                <w:sz w:val="18"/>
                <w:szCs w:val="18"/>
                <w:lang w:val="ro-RO" w:eastAsia="ru-RU"/>
              </w:rPr>
              <w:t>ăț</w:t>
            </w:r>
            <w:r w:rsidRPr="00A1503F">
              <w:rPr>
                <w:rFonts w:ascii="Times New Roman" w:hAnsi="Times New Roman"/>
                <w:sz w:val="18"/>
                <w:szCs w:val="18"/>
                <w:lang w:val="ro-RO" w:eastAsia="ru-RU"/>
              </w:rPr>
              <w:t>ilor administrativ-teritorial</w:t>
            </w:r>
            <w:r>
              <w:rPr>
                <w:rFonts w:ascii="Times New Roman" w:hAnsi="Times New Roman"/>
                <w:sz w:val="18"/>
                <w:szCs w:val="18"/>
                <w:lang w:val="ro-RO" w:eastAsia="ru-RU"/>
              </w:rPr>
              <w:t>e</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14168.1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14168.1</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14168.1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75"/>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315</w:t>
            </w:r>
          </w:p>
        </w:tc>
        <w:tc>
          <w:tcPr>
            <w:tcW w:w="6366" w:type="dxa"/>
            <w:tcBorders>
              <w:top w:val="nil"/>
              <w:left w:val="nil"/>
              <w:bottom w:val="single" w:sz="4" w:space="0" w:color="auto"/>
              <w:right w:val="single" w:sz="4" w:space="0" w:color="auto"/>
            </w:tcBorders>
            <w:hideMark/>
          </w:tcPr>
          <w:p w:rsidR="00F24302" w:rsidRPr="00A1503F" w:rsidRDefault="00F24302" w:rsidP="006B6AE0">
            <w:pPr>
              <w:spacing w:after="0" w:line="240" w:lineRule="auto"/>
              <w:rPr>
                <w:rFonts w:ascii="Times New Roman" w:hAnsi="Times New Roman"/>
                <w:i/>
                <w:sz w:val="18"/>
                <w:szCs w:val="18"/>
                <w:lang w:val="ro-RO" w:eastAsia="ru-RU"/>
              </w:rPr>
            </w:pPr>
            <w:r w:rsidRPr="00A1503F">
              <w:rPr>
                <w:rFonts w:ascii="Times New Roman" w:hAnsi="Times New Roman"/>
                <w:i/>
                <w:sz w:val="18"/>
                <w:szCs w:val="18"/>
                <w:lang w:val="ro-RO" w:eastAsia="ru-RU"/>
              </w:rPr>
              <w:t>Transferuri cu destina</w:t>
            </w:r>
            <w:r>
              <w:rPr>
                <w:rFonts w:ascii="Times New Roman" w:hAnsi="Times New Roman"/>
                <w:i/>
                <w:sz w:val="18"/>
                <w:szCs w:val="18"/>
                <w:lang w:val="ro-RO" w:eastAsia="ru-RU"/>
              </w:rPr>
              <w:t>ț</w:t>
            </w:r>
            <w:r w:rsidRPr="00A1503F">
              <w:rPr>
                <w:rFonts w:ascii="Times New Roman" w:hAnsi="Times New Roman"/>
                <w:i/>
                <w:sz w:val="18"/>
                <w:szCs w:val="18"/>
                <w:lang w:val="ro-RO" w:eastAsia="ru-RU"/>
              </w:rPr>
              <w:t>ie special</w:t>
            </w:r>
            <w:r>
              <w:rPr>
                <w:rFonts w:ascii="Times New Roman" w:hAnsi="Times New Roman"/>
                <w:i/>
                <w:sz w:val="18"/>
                <w:szCs w:val="18"/>
                <w:lang w:val="ro-RO" w:eastAsia="ru-RU"/>
              </w:rPr>
              <w:t>ă</w:t>
            </w:r>
            <w:r w:rsidRPr="00A1503F">
              <w:rPr>
                <w:rFonts w:ascii="Times New Roman" w:hAnsi="Times New Roman"/>
                <w:i/>
                <w:sz w:val="18"/>
                <w:szCs w:val="18"/>
                <w:lang w:val="ro-RO" w:eastAsia="ru-RU"/>
              </w:rPr>
              <w:t xml:space="preserve"> de la bugetul de stat</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164388.6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165075.0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154667.6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56.5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93.7</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-10407.4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-9721</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686.4</w:t>
            </w:r>
          </w:p>
        </w:tc>
      </w:tr>
      <w:tr w:rsidR="00F24302" w:rsidRPr="00C91C05" w:rsidTr="006B6AE0">
        <w:trPr>
          <w:trHeight w:val="417"/>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315/01</w:t>
            </w:r>
          </w:p>
        </w:tc>
        <w:tc>
          <w:tcPr>
            <w:tcW w:w="6366" w:type="dxa"/>
            <w:tcBorders>
              <w:top w:val="nil"/>
              <w:left w:val="nil"/>
              <w:bottom w:val="single" w:sz="4" w:space="0" w:color="auto"/>
              <w:right w:val="single" w:sz="4" w:space="0" w:color="auto"/>
            </w:tcBorders>
            <w:hideMark/>
          </w:tcPr>
          <w:p w:rsidR="00F24302" w:rsidRPr="00075194" w:rsidRDefault="00F24302" w:rsidP="006B6AE0">
            <w:pPr>
              <w:spacing w:after="0" w:line="240" w:lineRule="auto"/>
              <w:rPr>
                <w:rFonts w:ascii="Times New Roman" w:hAnsi="Times New Roman"/>
                <w:sz w:val="18"/>
                <w:szCs w:val="18"/>
                <w:lang w:val="ro-RO" w:eastAsia="ru-RU"/>
              </w:rPr>
            </w:pPr>
            <w:r w:rsidRPr="00A1503F">
              <w:rPr>
                <w:rFonts w:ascii="Times New Roman" w:hAnsi="Times New Roman"/>
                <w:sz w:val="18"/>
                <w:szCs w:val="18"/>
                <w:lang w:val="ro-RO" w:eastAsia="ru-RU"/>
              </w:rPr>
              <w:t>Transferuri cu destina</w:t>
            </w:r>
            <w:r>
              <w:rPr>
                <w:rFonts w:ascii="Times New Roman" w:hAnsi="Times New Roman"/>
                <w:sz w:val="18"/>
                <w:szCs w:val="18"/>
                <w:lang w:val="ro-RO" w:eastAsia="ru-RU"/>
              </w:rPr>
              <w:t>ț</w:t>
            </w:r>
            <w:r w:rsidRPr="00A1503F">
              <w:rPr>
                <w:rFonts w:ascii="Times New Roman" w:hAnsi="Times New Roman"/>
                <w:sz w:val="18"/>
                <w:szCs w:val="18"/>
                <w:lang w:val="ro-RO" w:eastAsia="ru-RU"/>
              </w:rPr>
              <w:t>ie special</w:t>
            </w:r>
            <w:r>
              <w:rPr>
                <w:rFonts w:ascii="Times New Roman" w:hAnsi="Times New Roman"/>
                <w:sz w:val="18"/>
                <w:szCs w:val="18"/>
                <w:lang w:val="ro-RO" w:eastAsia="ru-RU"/>
              </w:rPr>
              <w:t>ă</w:t>
            </w:r>
            <w:r w:rsidRPr="00A1503F">
              <w:rPr>
                <w:rFonts w:ascii="Times New Roman" w:hAnsi="Times New Roman"/>
                <w:sz w:val="18"/>
                <w:szCs w:val="18"/>
                <w:lang w:val="ro-RO" w:eastAsia="ru-RU"/>
              </w:rPr>
              <w:t xml:space="preserve"> de la bugetul de stat c</w:t>
            </w:r>
            <w:r>
              <w:rPr>
                <w:rFonts w:ascii="Times New Roman" w:hAnsi="Times New Roman"/>
                <w:sz w:val="18"/>
                <w:szCs w:val="18"/>
                <w:lang w:val="ro-RO" w:eastAsia="ru-RU"/>
              </w:rPr>
              <w:t>ă</w:t>
            </w:r>
            <w:r w:rsidRPr="00A1503F">
              <w:rPr>
                <w:rFonts w:ascii="Times New Roman" w:hAnsi="Times New Roman"/>
                <w:sz w:val="18"/>
                <w:szCs w:val="18"/>
                <w:lang w:val="ro-RO" w:eastAsia="ru-RU"/>
              </w:rPr>
              <w:t>tre bugetele unit</w:t>
            </w:r>
            <w:r>
              <w:rPr>
                <w:rFonts w:ascii="Times New Roman" w:hAnsi="Times New Roman"/>
                <w:sz w:val="18"/>
                <w:szCs w:val="18"/>
                <w:lang w:val="ro-RO" w:eastAsia="ru-RU"/>
              </w:rPr>
              <w:t>ăț</w:t>
            </w:r>
            <w:r w:rsidRPr="00A1503F">
              <w:rPr>
                <w:rFonts w:ascii="Times New Roman" w:hAnsi="Times New Roman"/>
                <w:sz w:val="18"/>
                <w:szCs w:val="18"/>
                <w:lang w:val="ro-RO" w:eastAsia="ru-RU"/>
              </w:rPr>
              <w:t>ilor administra</w:t>
            </w:r>
            <w:r w:rsidRPr="00075194">
              <w:rPr>
                <w:rFonts w:ascii="Times New Roman" w:hAnsi="Times New Roman"/>
                <w:sz w:val="18"/>
                <w:szCs w:val="18"/>
                <w:lang w:val="ro-RO" w:eastAsia="ru-RU"/>
              </w:rPr>
              <w:t>tiv-teritorial</w:t>
            </w:r>
            <w:r>
              <w:rPr>
                <w:rFonts w:ascii="Times New Roman" w:hAnsi="Times New Roman"/>
                <w:sz w:val="18"/>
                <w:szCs w:val="18"/>
                <w:lang w:val="ro-RO" w:eastAsia="ru-RU"/>
              </w:rPr>
              <w:t>e</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157422.2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158084.6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147898.2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93.6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-10186.4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-9524</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662.4</w:t>
            </w:r>
          </w:p>
        </w:tc>
      </w:tr>
      <w:tr w:rsidR="00F24302" w:rsidRPr="00C91C05" w:rsidTr="006B6AE0">
        <w:trPr>
          <w:trHeight w:val="48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315/02</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Transferuri cu destina</w:t>
            </w:r>
            <w:r>
              <w:rPr>
                <w:rFonts w:ascii="Times New Roman" w:hAnsi="Times New Roman"/>
                <w:sz w:val="18"/>
                <w:szCs w:val="18"/>
                <w:lang w:val="ro-RO" w:eastAsia="ru-RU"/>
              </w:rPr>
              <w:t>ț</w:t>
            </w:r>
            <w:r w:rsidRPr="00C91C05">
              <w:rPr>
                <w:rFonts w:ascii="Times New Roman" w:hAnsi="Times New Roman"/>
                <w:sz w:val="18"/>
                <w:szCs w:val="18"/>
                <w:lang w:val="ro-RO" w:eastAsia="ru-RU"/>
              </w:rPr>
              <w:t>ie special</w:t>
            </w:r>
            <w:r>
              <w:rPr>
                <w:rFonts w:ascii="Times New Roman" w:hAnsi="Times New Roman"/>
                <w:sz w:val="18"/>
                <w:szCs w:val="18"/>
                <w:lang w:val="ro-RO" w:eastAsia="ru-RU"/>
              </w:rPr>
              <w:t>ă</w:t>
            </w:r>
            <w:r w:rsidRPr="00C91C05">
              <w:rPr>
                <w:rFonts w:ascii="Times New Roman" w:hAnsi="Times New Roman"/>
                <w:sz w:val="18"/>
                <w:szCs w:val="18"/>
                <w:lang w:val="ro-RO" w:eastAsia="ru-RU"/>
              </w:rPr>
              <w:t xml:space="preserve"> de la bugetul de stat c</w:t>
            </w:r>
            <w:r>
              <w:rPr>
                <w:rFonts w:ascii="Times New Roman" w:hAnsi="Times New Roman"/>
                <w:sz w:val="18"/>
                <w:szCs w:val="18"/>
                <w:lang w:val="ro-RO" w:eastAsia="ru-RU"/>
              </w:rPr>
              <w:t>ă</w:t>
            </w:r>
            <w:r w:rsidRPr="00C91C05">
              <w:rPr>
                <w:rFonts w:ascii="Times New Roman" w:hAnsi="Times New Roman"/>
                <w:sz w:val="18"/>
                <w:szCs w:val="18"/>
                <w:lang w:val="ro-RO" w:eastAsia="ru-RU"/>
              </w:rPr>
              <w:t>tre bugetele unit</w:t>
            </w:r>
            <w:r>
              <w:rPr>
                <w:rFonts w:ascii="Times New Roman" w:hAnsi="Times New Roman"/>
                <w:sz w:val="18"/>
                <w:szCs w:val="18"/>
                <w:lang w:val="ro-RO" w:eastAsia="ru-RU"/>
              </w:rPr>
              <w:t>ăț</w:t>
            </w:r>
            <w:r w:rsidRPr="00C91C05">
              <w:rPr>
                <w:rFonts w:ascii="Times New Roman" w:hAnsi="Times New Roman"/>
                <w:sz w:val="18"/>
                <w:szCs w:val="18"/>
                <w:lang w:val="ro-RO" w:eastAsia="ru-RU"/>
              </w:rPr>
              <w:t>ilor administrativ-teritorial</w:t>
            </w:r>
            <w:r>
              <w:rPr>
                <w:rFonts w:ascii="Times New Roman" w:hAnsi="Times New Roman"/>
                <w:sz w:val="18"/>
                <w:szCs w:val="18"/>
                <w:lang w:val="ro-RO" w:eastAsia="ru-RU"/>
              </w:rPr>
              <w:t>e</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5074.5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5080.5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5080.5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w:t>
            </w:r>
          </w:p>
        </w:tc>
      </w:tr>
      <w:tr w:rsidR="00F24302" w:rsidRPr="00C91C05" w:rsidTr="006B6AE0">
        <w:trPr>
          <w:trHeight w:val="48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315/06</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Transferuri cu destina</w:t>
            </w:r>
            <w:r>
              <w:rPr>
                <w:rFonts w:ascii="Times New Roman" w:hAnsi="Times New Roman"/>
                <w:sz w:val="18"/>
                <w:szCs w:val="18"/>
                <w:lang w:val="ro-RO" w:eastAsia="ru-RU"/>
              </w:rPr>
              <w:t>ț</w:t>
            </w:r>
            <w:r w:rsidRPr="00C91C05">
              <w:rPr>
                <w:rFonts w:ascii="Times New Roman" w:hAnsi="Times New Roman"/>
                <w:sz w:val="18"/>
                <w:szCs w:val="18"/>
                <w:lang w:val="ro-RO" w:eastAsia="ru-RU"/>
              </w:rPr>
              <w:t>ie special</w:t>
            </w:r>
            <w:r>
              <w:rPr>
                <w:rFonts w:ascii="Times New Roman" w:hAnsi="Times New Roman"/>
                <w:sz w:val="18"/>
                <w:szCs w:val="18"/>
                <w:lang w:val="ro-RO" w:eastAsia="ru-RU"/>
              </w:rPr>
              <w:t>ă</w:t>
            </w:r>
            <w:r w:rsidRPr="00C91C05">
              <w:rPr>
                <w:rFonts w:ascii="Times New Roman" w:hAnsi="Times New Roman"/>
                <w:sz w:val="18"/>
                <w:szCs w:val="18"/>
                <w:lang w:val="ro-RO" w:eastAsia="ru-RU"/>
              </w:rPr>
              <w:t xml:space="preserve"> de la bugetul de stat c</w:t>
            </w:r>
            <w:r>
              <w:rPr>
                <w:rFonts w:ascii="Times New Roman" w:hAnsi="Times New Roman"/>
                <w:sz w:val="18"/>
                <w:szCs w:val="18"/>
                <w:lang w:val="ro-RO" w:eastAsia="ru-RU"/>
              </w:rPr>
              <w:t>ă</w:t>
            </w:r>
            <w:r w:rsidRPr="00C91C05">
              <w:rPr>
                <w:rFonts w:ascii="Times New Roman" w:hAnsi="Times New Roman"/>
                <w:sz w:val="18"/>
                <w:szCs w:val="18"/>
                <w:lang w:val="ro-RO" w:eastAsia="ru-RU"/>
              </w:rPr>
              <w:t>tre bugetele unit</w:t>
            </w:r>
            <w:r>
              <w:rPr>
                <w:rFonts w:ascii="Times New Roman" w:hAnsi="Times New Roman"/>
                <w:sz w:val="18"/>
                <w:szCs w:val="18"/>
                <w:lang w:val="ro-RO" w:eastAsia="ru-RU"/>
              </w:rPr>
              <w:t>ăț</w:t>
            </w:r>
            <w:r w:rsidRPr="00C91C05">
              <w:rPr>
                <w:rFonts w:ascii="Times New Roman" w:hAnsi="Times New Roman"/>
                <w:sz w:val="18"/>
                <w:szCs w:val="18"/>
                <w:lang w:val="ro-RO" w:eastAsia="ru-RU"/>
              </w:rPr>
              <w:t>ilor administrativ-teritorial</w:t>
            </w:r>
            <w:r>
              <w:rPr>
                <w:rFonts w:ascii="Times New Roman" w:hAnsi="Times New Roman"/>
                <w:sz w:val="18"/>
                <w:szCs w:val="18"/>
                <w:lang w:val="ro-RO" w:eastAsia="ru-RU"/>
              </w:rPr>
              <w:t>e</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221.4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229.6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133.0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57.9</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-96.6</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-88.4</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8.2</w:t>
            </w:r>
          </w:p>
        </w:tc>
      </w:tr>
      <w:tr w:rsidR="00F24302" w:rsidRPr="00C91C05" w:rsidTr="006B6AE0">
        <w:trPr>
          <w:trHeight w:val="48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lastRenderedPageBreak/>
              <w:t>315/07</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Transferuri cu destina</w:t>
            </w:r>
            <w:r>
              <w:rPr>
                <w:rFonts w:ascii="Times New Roman" w:hAnsi="Times New Roman"/>
                <w:sz w:val="18"/>
                <w:szCs w:val="18"/>
                <w:lang w:val="ro-RO" w:eastAsia="ru-RU"/>
              </w:rPr>
              <w:t>ț</w:t>
            </w:r>
            <w:r w:rsidRPr="00C91C05">
              <w:rPr>
                <w:rFonts w:ascii="Times New Roman" w:hAnsi="Times New Roman"/>
                <w:sz w:val="18"/>
                <w:szCs w:val="18"/>
                <w:lang w:val="ro-RO" w:eastAsia="ru-RU"/>
              </w:rPr>
              <w:t>ie special</w:t>
            </w:r>
            <w:r>
              <w:rPr>
                <w:rFonts w:ascii="Times New Roman" w:hAnsi="Times New Roman"/>
                <w:sz w:val="18"/>
                <w:szCs w:val="18"/>
                <w:lang w:val="ro-RO" w:eastAsia="ru-RU"/>
              </w:rPr>
              <w:t>ă</w:t>
            </w:r>
            <w:r w:rsidRPr="00C91C05">
              <w:rPr>
                <w:rFonts w:ascii="Times New Roman" w:hAnsi="Times New Roman"/>
                <w:sz w:val="18"/>
                <w:szCs w:val="18"/>
                <w:lang w:val="ro-RO" w:eastAsia="ru-RU"/>
              </w:rPr>
              <w:t xml:space="preserve"> de la bugetul de stat c</w:t>
            </w:r>
            <w:r>
              <w:rPr>
                <w:rFonts w:ascii="Times New Roman" w:hAnsi="Times New Roman"/>
                <w:sz w:val="18"/>
                <w:szCs w:val="18"/>
                <w:lang w:val="ro-RO" w:eastAsia="ru-RU"/>
              </w:rPr>
              <w:t>ă</w:t>
            </w:r>
            <w:r w:rsidRPr="00C91C05">
              <w:rPr>
                <w:rFonts w:ascii="Times New Roman" w:hAnsi="Times New Roman"/>
                <w:sz w:val="18"/>
                <w:szCs w:val="18"/>
                <w:lang w:val="ro-RO" w:eastAsia="ru-RU"/>
              </w:rPr>
              <w:t>tre bugetele unit</w:t>
            </w:r>
            <w:r>
              <w:rPr>
                <w:rFonts w:ascii="Times New Roman" w:hAnsi="Times New Roman"/>
                <w:sz w:val="18"/>
                <w:szCs w:val="18"/>
                <w:lang w:val="ro-RO" w:eastAsia="ru-RU"/>
              </w:rPr>
              <w:t>ăț</w:t>
            </w:r>
            <w:r w:rsidRPr="00C91C05">
              <w:rPr>
                <w:rFonts w:ascii="Times New Roman" w:hAnsi="Times New Roman"/>
                <w:sz w:val="18"/>
                <w:szCs w:val="18"/>
                <w:lang w:val="ro-RO" w:eastAsia="ru-RU"/>
              </w:rPr>
              <w:t>ilor administrativ-teritorial</w:t>
            </w:r>
            <w:r>
              <w:rPr>
                <w:rFonts w:ascii="Times New Roman" w:hAnsi="Times New Roman"/>
                <w:sz w:val="18"/>
                <w:szCs w:val="18"/>
                <w:lang w:val="ro-RO" w:eastAsia="ru-RU"/>
              </w:rPr>
              <w:t>e</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1670.5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1680.3</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1555.9</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0.6</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92.6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-124.4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-114.6</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9,8</w:t>
            </w:r>
          </w:p>
        </w:tc>
      </w:tr>
      <w:tr w:rsidR="00F24302" w:rsidRPr="00C91C05" w:rsidTr="006B6AE0">
        <w:trPr>
          <w:trHeight w:val="243"/>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316</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i/>
                <w:sz w:val="18"/>
                <w:szCs w:val="18"/>
                <w:lang w:val="ro-RO" w:eastAsia="ru-RU"/>
              </w:rPr>
            </w:pPr>
            <w:r w:rsidRPr="00C91C05">
              <w:rPr>
                <w:rFonts w:ascii="Times New Roman" w:hAnsi="Times New Roman"/>
                <w:i/>
                <w:sz w:val="18"/>
                <w:szCs w:val="18"/>
                <w:lang w:val="ro-RO" w:eastAsia="ru-RU"/>
              </w:rPr>
              <w:t xml:space="preserve">Transferuri din fondul de compensare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2928.4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2928.4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2928.4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i/>
                <w:sz w:val="18"/>
                <w:szCs w:val="18"/>
                <w:lang w:val="ro-RO" w:eastAsia="ru-RU"/>
              </w:rPr>
            </w:pPr>
          </w:p>
        </w:tc>
        <w:tc>
          <w:tcPr>
            <w:tcW w:w="1028" w:type="dxa"/>
            <w:tcBorders>
              <w:top w:val="nil"/>
              <w:left w:val="nil"/>
              <w:bottom w:val="single" w:sz="4" w:space="0" w:color="auto"/>
              <w:right w:val="single" w:sz="4" w:space="0" w:color="auto"/>
            </w:tcBorders>
          </w:tcPr>
          <w:p w:rsidR="00F24302" w:rsidRPr="00C91C05" w:rsidRDefault="00F24302" w:rsidP="006B6AE0">
            <w:pPr>
              <w:jc w:val="center"/>
              <w:rPr>
                <w:rFonts w:ascii="Times New Roman" w:hAnsi="Times New Roman"/>
                <w:i/>
                <w:sz w:val="18"/>
                <w:szCs w:val="18"/>
                <w:lang w:val="ro-RO" w:eastAsia="ru-RU"/>
              </w:rPr>
            </w:pPr>
          </w:p>
        </w:tc>
        <w:tc>
          <w:tcPr>
            <w:tcW w:w="1028" w:type="dxa"/>
            <w:tcBorders>
              <w:top w:val="nil"/>
              <w:left w:val="nil"/>
              <w:bottom w:val="single" w:sz="4" w:space="0" w:color="auto"/>
              <w:right w:val="single" w:sz="4" w:space="0" w:color="auto"/>
            </w:tcBorders>
          </w:tcPr>
          <w:p w:rsidR="00F24302" w:rsidRPr="00C91C05" w:rsidRDefault="00F24302" w:rsidP="006B6AE0">
            <w:pPr>
              <w:jc w:val="center"/>
              <w:rPr>
                <w:rFonts w:ascii="Times New Roman" w:hAnsi="Times New Roman"/>
                <w:i/>
                <w:sz w:val="18"/>
                <w:szCs w:val="18"/>
                <w:lang w:val="ro-RO" w:eastAsia="ru-RU"/>
              </w:rPr>
            </w:pPr>
            <w:r w:rsidRPr="00C91C05">
              <w:rPr>
                <w:rFonts w:ascii="Times New Roman" w:hAnsi="Times New Roman"/>
                <w:i/>
                <w:sz w:val="18"/>
                <w:szCs w:val="18"/>
                <w:lang w:val="ro-RO" w:eastAsia="ru-RU"/>
              </w:rPr>
              <w:t>0</w:t>
            </w:r>
          </w:p>
        </w:tc>
      </w:tr>
      <w:tr w:rsidR="00F24302" w:rsidRPr="00C91C05" w:rsidTr="006B6AE0">
        <w:trPr>
          <w:trHeight w:val="407"/>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316/16</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Transferuri din fondul de compensare c</w:t>
            </w:r>
            <w:r>
              <w:rPr>
                <w:rFonts w:ascii="Times New Roman" w:hAnsi="Times New Roman"/>
                <w:sz w:val="18"/>
                <w:szCs w:val="18"/>
                <w:lang w:val="ro-RO" w:eastAsia="ru-RU"/>
              </w:rPr>
              <w:t>ă</w:t>
            </w:r>
            <w:r w:rsidRPr="00C91C05">
              <w:rPr>
                <w:rFonts w:ascii="Times New Roman" w:hAnsi="Times New Roman"/>
                <w:sz w:val="18"/>
                <w:szCs w:val="18"/>
                <w:lang w:val="ro-RO" w:eastAsia="ru-RU"/>
              </w:rPr>
              <w:t>tre bugetele unit</w:t>
            </w:r>
            <w:r>
              <w:rPr>
                <w:rFonts w:ascii="Times New Roman" w:hAnsi="Times New Roman"/>
                <w:sz w:val="18"/>
                <w:szCs w:val="18"/>
                <w:lang w:val="ro-RO" w:eastAsia="ru-RU"/>
              </w:rPr>
              <w:t>ăț</w:t>
            </w:r>
            <w:r w:rsidRPr="00C91C05">
              <w:rPr>
                <w:rFonts w:ascii="Times New Roman" w:hAnsi="Times New Roman"/>
                <w:sz w:val="18"/>
                <w:szCs w:val="18"/>
                <w:lang w:val="ro-RO" w:eastAsia="ru-RU"/>
              </w:rPr>
              <w:t xml:space="preserve">ilor administrativ-teritoriale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2020.2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2020.2</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2020.2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tcPr>
          <w:p w:rsidR="00F24302" w:rsidRPr="00C91C05" w:rsidRDefault="00F24302" w:rsidP="006B6AE0">
            <w:pPr>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tcPr>
          <w:p w:rsidR="00F24302" w:rsidRPr="00C91C05" w:rsidRDefault="00F24302" w:rsidP="006B6AE0">
            <w:pPr>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412"/>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316/17</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Transferuri din fondul de compensare c</w:t>
            </w:r>
            <w:r>
              <w:rPr>
                <w:rFonts w:ascii="Times New Roman" w:hAnsi="Times New Roman"/>
                <w:sz w:val="18"/>
                <w:szCs w:val="18"/>
                <w:lang w:val="ro-RO" w:eastAsia="ru-RU"/>
              </w:rPr>
              <w:t>ă</w:t>
            </w:r>
            <w:r w:rsidRPr="00C91C05">
              <w:rPr>
                <w:rFonts w:ascii="Times New Roman" w:hAnsi="Times New Roman"/>
                <w:sz w:val="18"/>
                <w:szCs w:val="18"/>
                <w:lang w:val="ro-RO" w:eastAsia="ru-RU"/>
              </w:rPr>
              <w:t>tre bugetele unit</w:t>
            </w:r>
            <w:r>
              <w:rPr>
                <w:rFonts w:ascii="Times New Roman" w:hAnsi="Times New Roman"/>
                <w:sz w:val="18"/>
                <w:szCs w:val="18"/>
                <w:lang w:val="ro-RO" w:eastAsia="ru-RU"/>
              </w:rPr>
              <w:t>ăț</w:t>
            </w:r>
            <w:r w:rsidRPr="00C91C05">
              <w:rPr>
                <w:rFonts w:ascii="Times New Roman" w:hAnsi="Times New Roman"/>
                <w:sz w:val="18"/>
                <w:szCs w:val="18"/>
                <w:lang w:val="ro-RO" w:eastAsia="ru-RU"/>
              </w:rPr>
              <w:t xml:space="preserve">ilor administrativ-teritoriale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908.2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908.2</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908.2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tcPr>
          <w:p w:rsidR="00F24302" w:rsidRPr="00C91C05" w:rsidRDefault="00F24302" w:rsidP="006B6AE0">
            <w:pPr>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tcPr>
          <w:p w:rsidR="00F24302" w:rsidRPr="00C91C05" w:rsidRDefault="00F24302" w:rsidP="006B6AE0">
            <w:pPr>
              <w:jc w:val="center"/>
              <w:rPr>
                <w:rFonts w:ascii="Times New Roman" w:hAnsi="Times New Roman"/>
                <w:sz w:val="18"/>
                <w:szCs w:val="18"/>
                <w:lang w:val="ro-RO" w:eastAsia="ru-RU"/>
              </w:rPr>
            </w:pPr>
            <w:r w:rsidRPr="00C91C05">
              <w:rPr>
                <w:rFonts w:ascii="Times New Roman" w:hAnsi="Times New Roman"/>
                <w:sz w:val="18"/>
                <w:szCs w:val="18"/>
                <w:lang w:val="ro-RO" w:eastAsia="ru-RU"/>
              </w:rPr>
              <w:t>0</w:t>
            </w:r>
          </w:p>
        </w:tc>
      </w:tr>
      <w:tr w:rsidR="00F24302" w:rsidRPr="00C91C05" w:rsidTr="006B6AE0">
        <w:trPr>
          <w:trHeight w:val="263"/>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330/00</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i/>
                <w:sz w:val="18"/>
                <w:szCs w:val="18"/>
                <w:lang w:val="ro-RO" w:eastAsia="ru-RU"/>
              </w:rPr>
            </w:pPr>
            <w:r w:rsidRPr="00C91C05">
              <w:rPr>
                <w:rFonts w:ascii="Times New Roman" w:hAnsi="Times New Roman"/>
                <w:i/>
                <w:sz w:val="18"/>
                <w:szCs w:val="18"/>
                <w:lang w:val="ro-RO" w:eastAsia="ru-RU"/>
              </w:rPr>
              <w:t>Mijloace încasate prin decontări reciproce de la bugetele de alt nivel</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i/>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8188.4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8188.4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3.0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i/>
                <w:sz w:val="18"/>
                <w:szCs w:val="18"/>
                <w:lang w:val="ro-RO" w:eastAsia="ru-RU"/>
              </w:rPr>
            </w:pPr>
          </w:p>
        </w:tc>
        <w:tc>
          <w:tcPr>
            <w:tcW w:w="1028" w:type="dxa"/>
            <w:tcBorders>
              <w:top w:val="nil"/>
              <w:left w:val="nil"/>
              <w:bottom w:val="single" w:sz="4" w:space="0" w:color="auto"/>
              <w:right w:val="single" w:sz="4" w:space="0" w:color="auto"/>
            </w:tcBorders>
            <w:hideMark/>
          </w:tcPr>
          <w:p w:rsidR="00F24302" w:rsidRPr="00C91C05" w:rsidRDefault="00F24302" w:rsidP="006B6AE0">
            <w:pPr>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8188.4</w:t>
            </w:r>
          </w:p>
        </w:tc>
        <w:tc>
          <w:tcPr>
            <w:tcW w:w="1028" w:type="dxa"/>
            <w:tcBorders>
              <w:top w:val="nil"/>
              <w:left w:val="nil"/>
              <w:bottom w:val="single" w:sz="4" w:space="0" w:color="auto"/>
              <w:right w:val="single" w:sz="4" w:space="0" w:color="auto"/>
            </w:tcBorders>
            <w:hideMark/>
          </w:tcPr>
          <w:p w:rsidR="00F24302" w:rsidRPr="00C91C05" w:rsidRDefault="00F24302" w:rsidP="006B6AE0">
            <w:pPr>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8188.4</w:t>
            </w:r>
          </w:p>
        </w:tc>
      </w:tr>
      <w:tr w:rsidR="00F24302" w:rsidRPr="00C91C05" w:rsidTr="006B6AE0">
        <w:trPr>
          <w:trHeight w:val="297"/>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331/00</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i/>
                <w:sz w:val="18"/>
                <w:szCs w:val="18"/>
                <w:lang w:val="ro-RO" w:eastAsia="ru-RU"/>
              </w:rPr>
            </w:pPr>
            <w:r w:rsidRPr="00C91C05">
              <w:rPr>
                <w:rFonts w:ascii="Times New Roman" w:hAnsi="Times New Roman"/>
                <w:i/>
                <w:sz w:val="18"/>
                <w:szCs w:val="18"/>
                <w:lang w:val="ro-RO" w:eastAsia="ru-RU"/>
              </w:rPr>
              <w:t>Mijloace încasate pentru decontări reciproce pentru cheltuieli curente</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i/>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754.0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754.0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0.3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i/>
                <w:sz w:val="18"/>
                <w:szCs w:val="18"/>
                <w:lang w:val="ro-RO" w:eastAsia="ru-RU"/>
              </w:rPr>
            </w:pP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754.0</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754.0</w:t>
            </w:r>
          </w:p>
        </w:tc>
      </w:tr>
      <w:tr w:rsidR="00F24302" w:rsidRPr="00C91C05" w:rsidTr="006B6AE0">
        <w:trPr>
          <w:trHeight w:val="414"/>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331/06</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 xml:space="preserve">Mijloace </w:t>
            </w:r>
            <w:r>
              <w:rPr>
                <w:rFonts w:ascii="Times New Roman" w:hAnsi="Times New Roman"/>
                <w:sz w:val="18"/>
                <w:szCs w:val="18"/>
                <w:lang w:val="ro-RO" w:eastAsia="ru-RU"/>
              </w:rPr>
              <w:t>î</w:t>
            </w:r>
            <w:r w:rsidRPr="00C91C05">
              <w:rPr>
                <w:rFonts w:ascii="Times New Roman" w:hAnsi="Times New Roman"/>
                <w:sz w:val="18"/>
                <w:szCs w:val="18"/>
                <w:lang w:val="ro-RO" w:eastAsia="ru-RU"/>
              </w:rPr>
              <w:t>ncasate de la bugetul de stat prin decont</w:t>
            </w:r>
            <w:r>
              <w:rPr>
                <w:rFonts w:ascii="Times New Roman" w:hAnsi="Times New Roman"/>
                <w:sz w:val="18"/>
                <w:szCs w:val="18"/>
                <w:lang w:val="ro-RO" w:eastAsia="ru-RU"/>
              </w:rPr>
              <w:t>ă</w:t>
            </w:r>
            <w:r w:rsidRPr="00C91C05">
              <w:rPr>
                <w:rFonts w:ascii="Times New Roman" w:hAnsi="Times New Roman"/>
                <w:sz w:val="18"/>
                <w:szCs w:val="18"/>
                <w:lang w:val="ro-RO" w:eastAsia="ru-RU"/>
              </w:rPr>
              <w:t xml:space="preserve">ri reciproce pentru cheltuielile curente </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754.0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754.0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754.0</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754.0</w:t>
            </w:r>
          </w:p>
        </w:tc>
      </w:tr>
      <w:tr w:rsidR="00F24302" w:rsidRPr="00C91C05" w:rsidTr="006B6AE0">
        <w:trPr>
          <w:trHeight w:val="279"/>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332/00</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i/>
                <w:sz w:val="18"/>
                <w:szCs w:val="18"/>
                <w:lang w:val="ro-RO" w:eastAsia="ru-RU"/>
              </w:rPr>
            </w:pPr>
            <w:r w:rsidRPr="00C91C05">
              <w:rPr>
                <w:rFonts w:ascii="Times New Roman" w:hAnsi="Times New Roman"/>
                <w:i/>
                <w:sz w:val="18"/>
                <w:szCs w:val="18"/>
                <w:lang w:val="ro-RO" w:eastAsia="ru-RU"/>
              </w:rPr>
              <w:t xml:space="preserve"> Mijloace  încasate prin decontări reciproce pentru cheltuieli capitale</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i/>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7434.3</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7434.3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i/>
                <w:sz w:val="18"/>
                <w:szCs w:val="18"/>
                <w:lang w:val="ro-RO" w:eastAsia="ru-RU"/>
              </w:rPr>
            </w:pP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7434.3</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7434,3</w:t>
            </w:r>
          </w:p>
        </w:tc>
      </w:tr>
      <w:tr w:rsidR="00F24302" w:rsidRPr="00C91C05" w:rsidTr="006B6AE0">
        <w:trPr>
          <w:trHeight w:val="41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332/06</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 xml:space="preserve">Mijloace </w:t>
            </w:r>
            <w:r>
              <w:rPr>
                <w:rFonts w:ascii="Times New Roman" w:hAnsi="Times New Roman"/>
                <w:sz w:val="18"/>
                <w:szCs w:val="18"/>
                <w:lang w:val="ro-RO" w:eastAsia="ru-RU"/>
              </w:rPr>
              <w:t>î</w:t>
            </w:r>
            <w:r w:rsidRPr="00C91C05">
              <w:rPr>
                <w:rFonts w:ascii="Times New Roman" w:hAnsi="Times New Roman"/>
                <w:sz w:val="18"/>
                <w:szCs w:val="18"/>
                <w:lang w:val="ro-RO" w:eastAsia="ru-RU"/>
              </w:rPr>
              <w:t>ncasate de la bugetul de stat prin decont</w:t>
            </w:r>
            <w:r>
              <w:rPr>
                <w:rFonts w:ascii="Times New Roman" w:hAnsi="Times New Roman"/>
                <w:sz w:val="18"/>
                <w:szCs w:val="18"/>
                <w:lang w:val="ro-RO" w:eastAsia="ru-RU"/>
              </w:rPr>
              <w:t>ă</w:t>
            </w:r>
            <w:r w:rsidRPr="00C91C05">
              <w:rPr>
                <w:rFonts w:ascii="Times New Roman" w:hAnsi="Times New Roman"/>
                <w:sz w:val="18"/>
                <w:szCs w:val="18"/>
                <w:lang w:val="ro-RO" w:eastAsia="ru-RU"/>
              </w:rPr>
              <w:t>ri reciproce pentru cheltuielile capitale</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7434.3</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7434.3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7434.3</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7434.3</w:t>
            </w:r>
          </w:p>
        </w:tc>
      </w:tr>
      <w:tr w:rsidR="00F24302" w:rsidRPr="00C91C05" w:rsidTr="006B6AE0">
        <w:trPr>
          <w:trHeight w:val="343"/>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i/>
                <w:sz w:val="18"/>
                <w:szCs w:val="18"/>
                <w:lang w:val="ro-RO" w:eastAsia="ru-RU"/>
              </w:rPr>
            </w:pPr>
            <w:r w:rsidRPr="00C91C05">
              <w:rPr>
                <w:rFonts w:ascii="Times New Roman" w:hAnsi="Times New Roman"/>
                <w:i/>
                <w:sz w:val="18"/>
                <w:szCs w:val="18"/>
                <w:lang w:val="ro-RO" w:eastAsia="ru-RU"/>
              </w:rPr>
              <w:t>360</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i/>
                <w:sz w:val="18"/>
                <w:szCs w:val="18"/>
                <w:lang w:val="ro-RO" w:eastAsia="ru-RU"/>
              </w:rPr>
            </w:pPr>
            <w:r w:rsidRPr="00C91C05">
              <w:rPr>
                <w:rFonts w:ascii="Times New Roman" w:hAnsi="Times New Roman"/>
                <w:i/>
                <w:sz w:val="18"/>
                <w:szCs w:val="18"/>
                <w:lang w:val="ro-RO" w:eastAsia="ru-RU"/>
              </w:rPr>
              <w:t xml:space="preserve"> Transferuri intre componentele bugetului</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3167.4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23238.0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23238.0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8.5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i/>
                <w:sz w:val="18"/>
                <w:szCs w:val="18"/>
                <w:lang w:val="ro-RO" w:eastAsia="ru-RU"/>
              </w:rPr>
            </w:pP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20070.6</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i/>
                <w:sz w:val="18"/>
                <w:szCs w:val="18"/>
                <w:lang w:val="ro-RO" w:eastAsia="ru-RU"/>
              </w:rPr>
            </w:pPr>
            <w:r w:rsidRPr="00C91C05">
              <w:rPr>
                <w:rFonts w:ascii="Times New Roman" w:hAnsi="Times New Roman"/>
                <w:i/>
                <w:sz w:val="18"/>
                <w:szCs w:val="18"/>
                <w:lang w:val="ro-RO" w:eastAsia="ru-RU"/>
              </w:rPr>
              <w:t>20070.6</w:t>
            </w:r>
          </w:p>
        </w:tc>
      </w:tr>
      <w:tr w:rsidR="00F24302" w:rsidRPr="00C91C05" w:rsidTr="006B6AE0">
        <w:trPr>
          <w:trHeight w:val="492"/>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362/32</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 xml:space="preserve">Transferuri între componenta fonduri speciale ale bugetului de stat </w:t>
            </w:r>
            <w:r w:rsidRPr="00C91C05">
              <w:rPr>
                <w:rFonts w:ascii="Tahoma" w:hAnsi="Tahoma" w:cs="Tahoma"/>
                <w:sz w:val="18"/>
                <w:szCs w:val="18"/>
                <w:lang w:val="ro-RO" w:eastAsia="ru-RU"/>
              </w:rPr>
              <w:t>ș</w:t>
            </w:r>
            <w:r w:rsidRPr="00C91C05">
              <w:rPr>
                <w:rFonts w:ascii="Times New Roman" w:hAnsi="Times New Roman"/>
                <w:sz w:val="18"/>
                <w:szCs w:val="18"/>
                <w:lang w:val="ro-RO" w:eastAsia="ru-RU"/>
              </w:rPr>
              <w:t xml:space="preserve">i componenta fonduri speciale ale bugetelor de nivelul I </w:t>
            </w:r>
            <w:r>
              <w:rPr>
                <w:rFonts w:ascii="Times New Roman" w:hAnsi="Times New Roman"/>
                <w:sz w:val="18"/>
                <w:szCs w:val="18"/>
                <w:lang w:val="ro-RO" w:eastAsia="ru-RU"/>
              </w:rPr>
              <w:t>ș</w:t>
            </w:r>
            <w:r w:rsidRPr="00C91C05">
              <w:rPr>
                <w:rFonts w:ascii="Times New Roman" w:hAnsi="Times New Roman"/>
                <w:sz w:val="18"/>
                <w:szCs w:val="18"/>
                <w:lang w:val="ro-RO" w:eastAsia="ru-RU"/>
              </w:rPr>
              <w:t>i II</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3167.4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23238.0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23238.0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20070.6</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20070.6</w:t>
            </w:r>
          </w:p>
        </w:tc>
      </w:tr>
      <w:tr w:rsidR="00F24302" w:rsidRPr="00C91C05" w:rsidTr="006B6AE0">
        <w:trPr>
          <w:trHeight w:val="246"/>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400</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Granturi</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120.0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18653.9</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17492.0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93.8</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-1161.9</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17372</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18533.9</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411/03</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Granturi interne</w:t>
            </w:r>
            <w:r>
              <w:rPr>
                <w:rFonts w:ascii="Times New Roman" w:hAnsi="Times New Roman"/>
                <w:sz w:val="18"/>
                <w:szCs w:val="18"/>
                <w:lang w:val="ro-RO" w:eastAsia="ru-RU"/>
              </w:rPr>
              <w:t xml:space="preserve">       </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120.0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1996.4</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834.4</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0.3</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41.8</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-1162</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714.4</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1876.4</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412/00</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Granturi externe</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16657.5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16657.5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6.2</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16657.5</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16657.5</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412/02</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Granturi pentru proiecte</w:t>
            </w:r>
            <w:r>
              <w:rPr>
                <w:rFonts w:ascii="Times New Roman" w:hAnsi="Times New Roman"/>
                <w:sz w:val="18"/>
                <w:szCs w:val="18"/>
                <w:lang w:val="ro-RO" w:eastAsia="ru-RU"/>
              </w:rPr>
              <w:t xml:space="preserve"> </w:t>
            </w:r>
            <w:r w:rsidRPr="00C91C05">
              <w:rPr>
                <w:rFonts w:ascii="Times New Roman" w:hAnsi="Times New Roman"/>
                <w:sz w:val="18"/>
                <w:szCs w:val="18"/>
                <w:lang w:val="ro-RO" w:eastAsia="ru-RU"/>
              </w:rPr>
              <w:t>finan</w:t>
            </w:r>
            <w:r>
              <w:rPr>
                <w:rFonts w:ascii="Times New Roman" w:hAnsi="Times New Roman"/>
                <w:sz w:val="18"/>
                <w:szCs w:val="18"/>
                <w:lang w:val="ro-RO" w:eastAsia="ru-RU"/>
              </w:rPr>
              <w:t>ț</w:t>
            </w:r>
            <w:r w:rsidRPr="00C91C05">
              <w:rPr>
                <w:rFonts w:ascii="Times New Roman" w:hAnsi="Times New Roman"/>
                <w:sz w:val="18"/>
                <w:szCs w:val="18"/>
                <w:lang w:val="ro-RO" w:eastAsia="ru-RU"/>
              </w:rPr>
              <w:t xml:space="preserve">ate din surse </w:t>
            </w:r>
            <w:r>
              <w:rPr>
                <w:rFonts w:ascii="Times New Roman" w:hAnsi="Times New Roman"/>
                <w:sz w:val="18"/>
                <w:szCs w:val="18"/>
                <w:lang w:val="ro-RO" w:eastAsia="ru-RU"/>
              </w:rPr>
              <w:t>e</w:t>
            </w:r>
            <w:r w:rsidRPr="00C91C05">
              <w:rPr>
                <w:rFonts w:ascii="Times New Roman" w:hAnsi="Times New Roman"/>
                <w:sz w:val="18"/>
                <w:szCs w:val="18"/>
                <w:lang w:val="ro-RO" w:eastAsia="ru-RU"/>
              </w:rPr>
              <w:t>xterne</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16564.5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16564.5</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6.1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16564.5</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16564.5</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jc w:val="right"/>
              <w:rPr>
                <w:rFonts w:ascii="Times New Roman" w:hAnsi="Times New Roman"/>
                <w:sz w:val="18"/>
                <w:szCs w:val="18"/>
                <w:lang w:val="ro-RO" w:eastAsia="ru-RU"/>
              </w:rPr>
            </w:pPr>
            <w:r w:rsidRPr="00C91C05">
              <w:rPr>
                <w:rFonts w:ascii="Times New Roman" w:hAnsi="Times New Roman"/>
                <w:sz w:val="18"/>
                <w:szCs w:val="18"/>
                <w:lang w:val="ro-RO" w:eastAsia="ru-RU"/>
              </w:rPr>
              <w:t>412/03</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Granturi externe pentru institu</w:t>
            </w:r>
            <w:r w:rsidRPr="0030397B">
              <w:rPr>
                <w:rFonts w:ascii="Times New Roman" w:hAnsi="Times New Roman"/>
                <w:sz w:val="18"/>
                <w:szCs w:val="18"/>
                <w:lang w:val="ro-RO" w:eastAsia="ru-RU"/>
              </w:rPr>
              <w:t>ț</w:t>
            </w:r>
            <w:r w:rsidRPr="00C91C05">
              <w:rPr>
                <w:rFonts w:ascii="Times New Roman" w:hAnsi="Times New Roman"/>
                <w:sz w:val="18"/>
                <w:szCs w:val="18"/>
                <w:lang w:val="ro-RO" w:eastAsia="ru-RU"/>
              </w:rPr>
              <w:t>iile publice</w:t>
            </w:r>
            <w:r>
              <w:rPr>
                <w:rFonts w:ascii="Times New Roman" w:hAnsi="Times New Roman"/>
                <w:sz w:val="18"/>
                <w:szCs w:val="18"/>
                <w:lang w:val="ro-RO" w:eastAsia="ru-RU"/>
              </w:rPr>
              <w:t xml:space="preserve">    </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93.0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93.0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0.1</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100.0</w:t>
            </w:r>
          </w:p>
        </w:tc>
        <w:tc>
          <w:tcPr>
            <w:tcW w:w="1027"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93.0</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93.0</w:t>
            </w:r>
          </w:p>
        </w:tc>
      </w:tr>
      <w:tr w:rsidR="00F24302" w:rsidRPr="00C91C05" w:rsidTr="006B6AE0">
        <w:trPr>
          <w:trHeight w:val="240"/>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rPr>
                <w:rFonts w:ascii="Times New Roman" w:hAnsi="Times New Roman"/>
                <w:b/>
                <w:bCs/>
                <w:sz w:val="18"/>
                <w:szCs w:val="18"/>
                <w:lang w:val="ro-RO" w:eastAsia="ru-RU"/>
              </w:rPr>
            </w:pPr>
            <w:r w:rsidRPr="00C91C05">
              <w:rPr>
                <w:rFonts w:ascii="Times New Roman" w:hAnsi="Times New Roman"/>
                <w:b/>
                <w:bCs/>
                <w:sz w:val="18"/>
                <w:szCs w:val="18"/>
                <w:lang w:val="ro-RO" w:eastAsia="ru-RU"/>
              </w:rPr>
              <w:t> </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b/>
                <w:bCs/>
                <w:sz w:val="18"/>
                <w:szCs w:val="18"/>
                <w:lang w:val="ro-RO" w:eastAsia="ru-RU"/>
              </w:rPr>
            </w:pPr>
            <w:r w:rsidRPr="00C91C05">
              <w:rPr>
                <w:rFonts w:ascii="Times New Roman" w:hAnsi="Times New Roman"/>
                <w:b/>
                <w:bCs/>
                <w:sz w:val="18"/>
                <w:szCs w:val="18"/>
                <w:lang w:val="ro-RO" w:eastAsia="ru-RU"/>
              </w:rPr>
              <w:t xml:space="preserve">Total, </w:t>
            </w:r>
            <w:r>
              <w:rPr>
                <w:rFonts w:ascii="Times New Roman" w:hAnsi="Times New Roman"/>
                <w:b/>
                <w:bCs/>
                <w:sz w:val="18"/>
                <w:szCs w:val="18"/>
                <w:lang w:val="ro-RO" w:eastAsia="ru-RU"/>
              </w:rPr>
              <w:t>v</w:t>
            </w:r>
            <w:r w:rsidRPr="00C91C05">
              <w:rPr>
                <w:rFonts w:ascii="Times New Roman" w:hAnsi="Times New Roman"/>
                <w:b/>
                <w:bCs/>
                <w:sz w:val="18"/>
                <w:szCs w:val="18"/>
                <w:lang w:val="ro-RO" w:eastAsia="ru-RU"/>
              </w:rPr>
              <w:t>enituri</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b/>
                <w:bCs/>
                <w:sz w:val="18"/>
                <w:szCs w:val="18"/>
                <w:lang w:val="ro-RO" w:eastAsia="ru-RU"/>
              </w:rPr>
            </w:pPr>
            <w:r w:rsidRPr="00C91C05">
              <w:rPr>
                <w:rFonts w:ascii="Times New Roman" w:hAnsi="Times New Roman"/>
                <w:b/>
                <w:bCs/>
                <w:sz w:val="18"/>
                <w:szCs w:val="18"/>
                <w:lang w:val="ro-RO" w:eastAsia="ru-RU"/>
              </w:rPr>
              <w:t>242515.7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b/>
                <w:bCs/>
                <w:sz w:val="18"/>
                <w:szCs w:val="18"/>
                <w:lang w:val="ro-RO" w:eastAsia="ru-RU"/>
              </w:rPr>
            </w:pPr>
            <w:r w:rsidRPr="00C91C05">
              <w:rPr>
                <w:rFonts w:ascii="Times New Roman" w:hAnsi="Times New Roman"/>
                <w:b/>
                <w:bCs/>
                <w:sz w:val="18"/>
                <w:szCs w:val="18"/>
                <w:lang w:val="ro-RO" w:eastAsia="ru-RU"/>
              </w:rPr>
              <w:t>291339.5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b/>
                <w:bCs/>
                <w:sz w:val="18"/>
                <w:szCs w:val="18"/>
                <w:lang w:val="ro-RO" w:eastAsia="ru-RU"/>
              </w:rPr>
            </w:pPr>
            <w:r w:rsidRPr="00C91C05">
              <w:rPr>
                <w:rFonts w:ascii="Times New Roman" w:hAnsi="Times New Roman"/>
                <w:b/>
                <w:bCs/>
                <w:sz w:val="18"/>
                <w:szCs w:val="18"/>
                <w:lang w:val="ro-RO" w:eastAsia="ru-RU"/>
              </w:rPr>
              <w:t>273888.7</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b/>
                <w:bCs/>
                <w:sz w:val="18"/>
                <w:szCs w:val="18"/>
                <w:lang w:val="ro-RO" w:eastAsia="ru-RU"/>
              </w:rPr>
            </w:pPr>
            <w:r w:rsidRPr="00C91C05">
              <w:rPr>
                <w:rFonts w:ascii="Times New Roman" w:hAnsi="Times New Roman"/>
                <w:b/>
                <w:bCs/>
                <w:sz w:val="18"/>
                <w:szCs w:val="18"/>
                <w:lang w:val="ro-RO" w:eastAsia="ru-RU"/>
              </w:rPr>
              <w:t>100.0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b/>
                <w:bCs/>
                <w:sz w:val="18"/>
                <w:szCs w:val="18"/>
                <w:lang w:val="ro-RO" w:eastAsia="ru-RU"/>
              </w:rPr>
            </w:pPr>
            <w:r w:rsidRPr="00C91C05">
              <w:rPr>
                <w:rFonts w:ascii="Times New Roman" w:hAnsi="Times New Roman"/>
                <w:b/>
                <w:bCs/>
                <w:sz w:val="18"/>
                <w:szCs w:val="18"/>
                <w:lang w:val="ro-RO" w:eastAsia="ru-RU"/>
              </w:rPr>
              <w:t>94.0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b/>
                <w:bCs/>
                <w:sz w:val="18"/>
                <w:szCs w:val="18"/>
                <w:lang w:val="ro-RO" w:eastAsia="ru-RU"/>
              </w:rPr>
            </w:pPr>
            <w:r w:rsidRPr="00C91C05">
              <w:rPr>
                <w:rFonts w:ascii="Times New Roman" w:hAnsi="Times New Roman"/>
                <w:b/>
                <w:bCs/>
                <w:sz w:val="18"/>
                <w:szCs w:val="18"/>
                <w:lang w:val="ro-RO" w:eastAsia="ru-RU"/>
              </w:rPr>
              <w:t>-17450.8</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b/>
                <w:bCs/>
                <w:sz w:val="18"/>
                <w:szCs w:val="18"/>
                <w:lang w:val="ro-RO" w:eastAsia="ru-RU"/>
              </w:rPr>
            </w:pPr>
            <w:r w:rsidRPr="00C91C05">
              <w:rPr>
                <w:rFonts w:ascii="Times New Roman" w:hAnsi="Times New Roman"/>
                <w:b/>
                <w:bCs/>
                <w:sz w:val="18"/>
                <w:szCs w:val="18"/>
                <w:lang w:val="ro-RO" w:eastAsia="ru-RU"/>
              </w:rPr>
              <w:t>31373</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b/>
                <w:bCs/>
                <w:sz w:val="18"/>
                <w:szCs w:val="18"/>
                <w:lang w:val="ro-RO" w:eastAsia="ru-RU"/>
              </w:rPr>
            </w:pPr>
            <w:r w:rsidRPr="00C91C05">
              <w:rPr>
                <w:rFonts w:ascii="Times New Roman" w:hAnsi="Times New Roman"/>
                <w:b/>
                <w:bCs/>
                <w:sz w:val="18"/>
                <w:szCs w:val="18"/>
                <w:lang w:val="ro-RO" w:eastAsia="ru-RU"/>
              </w:rPr>
              <w:t>48823.8</w:t>
            </w:r>
          </w:p>
        </w:tc>
      </w:tr>
      <w:tr w:rsidR="00F24302" w:rsidRPr="00C91C05" w:rsidTr="006B6AE0">
        <w:trPr>
          <w:trHeight w:val="172"/>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211/00</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Mijloace din privatizarea bunurilor proprietate publică</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77.0</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109.5</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158.3</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144.6</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48.8</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81.3</w:t>
            </w:r>
          </w:p>
        </w:tc>
        <w:tc>
          <w:tcPr>
            <w:tcW w:w="1028" w:type="dxa"/>
            <w:tcBorders>
              <w:top w:val="nil"/>
              <w:left w:val="nil"/>
              <w:bottom w:val="single" w:sz="4" w:space="0" w:color="auto"/>
              <w:right w:val="single" w:sz="4" w:space="0" w:color="auto"/>
            </w:tcBorders>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32.5</w:t>
            </w:r>
          </w:p>
        </w:tc>
      </w:tr>
      <w:tr w:rsidR="00F24302" w:rsidRPr="00C91C05" w:rsidTr="006B6AE0">
        <w:trPr>
          <w:trHeight w:val="233"/>
        </w:trPr>
        <w:tc>
          <w:tcPr>
            <w:tcW w:w="717" w:type="dxa"/>
            <w:tcBorders>
              <w:top w:val="nil"/>
              <w:left w:val="single" w:sz="4" w:space="0" w:color="auto"/>
              <w:bottom w:val="single" w:sz="4" w:space="0" w:color="auto"/>
              <w:right w:val="single" w:sz="4" w:space="0" w:color="auto"/>
            </w:tcBorders>
            <w:noWrap/>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212/00</w:t>
            </w:r>
          </w:p>
        </w:tc>
        <w:tc>
          <w:tcPr>
            <w:tcW w:w="6366" w:type="dxa"/>
            <w:tcBorders>
              <w:top w:val="nil"/>
              <w:left w:val="nil"/>
              <w:bottom w:val="single" w:sz="4" w:space="0" w:color="auto"/>
              <w:right w:val="single" w:sz="4" w:space="0" w:color="auto"/>
            </w:tcBorders>
            <w:hideMark/>
          </w:tcPr>
          <w:p w:rsidR="00F24302" w:rsidRPr="00C91C05" w:rsidRDefault="00F24302" w:rsidP="006B6AE0">
            <w:pPr>
              <w:spacing w:after="0" w:line="240" w:lineRule="auto"/>
              <w:rPr>
                <w:rFonts w:ascii="Times New Roman" w:hAnsi="Times New Roman"/>
                <w:sz w:val="18"/>
                <w:szCs w:val="18"/>
                <w:lang w:val="ro-RO" w:eastAsia="ru-RU"/>
              </w:rPr>
            </w:pPr>
            <w:r w:rsidRPr="00C91C05">
              <w:rPr>
                <w:rFonts w:ascii="Times New Roman" w:hAnsi="Times New Roman"/>
                <w:sz w:val="18"/>
                <w:szCs w:val="18"/>
                <w:lang w:val="ro-RO" w:eastAsia="ru-RU"/>
              </w:rPr>
              <w:t>Mijloace băne</w:t>
            </w:r>
            <w:r w:rsidRPr="0030397B">
              <w:rPr>
                <w:rFonts w:ascii="Times New Roman" w:hAnsi="Times New Roman"/>
                <w:sz w:val="18"/>
                <w:szCs w:val="18"/>
                <w:lang w:val="ro-RO" w:eastAsia="ru-RU"/>
              </w:rPr>
              <w:t>ș</w:t>
            </w:r>
            <w:r w:rsidRPr="00075194">
              <w:rPr>
                <w:rFonts w:ascii="Times New Roman" w:hAnsi="Times New Roman"/>
                <w:sz w:val="18"/>
                <w:szCs w:val="18"/>
                <w:lang w:val="ro-RO" w:eastAsia="ru-RU"/>
              </w:rPr>
              <w:t>t</w:t>
            </w:r>
            <w:r w:rsidRPr="00C91C05">
              <w:rPr>
                <w:rFonts w:ascii="Times New Roman" w:hAnsi="Times New Roman"/>
                <w:sz w:val="18"/>
                <w:szCs w:val="18"/>
                <w:lang w:val="ro-RO" w:eastAsia="ru-RU"/>
              </w:rPr>
              <w:t>i de la privatizarea terenurilor</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596.8</w:t>
            </w: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717.8</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2361.5</w:t>
            </w:r>
          </w:p>
        </w:tc>
        <w:tc>
          <w:tcPr>
            <w:tcW w:w="1028" w:type="dxa"/>
            <w:tcBorders>
              <w:top w:val="nil"/>
              <w:left w:val="nil"/>
              <w:bottom w:val="single" w:sz="4" w:space="0" w:color="auto"/>
              <w:right w:val="single" w:sz="4" w:space="0" w:color="auto"/>
            </w:tcBorders>
            <w:noWrap/>
          </w:tcPr>
          <w:p w:rsidR="00F24302" w:rsidRPr="00C91C05" w:rsidRDefault="00F24302" w:rsidP="006B6AE0">
            <w:pPr>
              <w:spacing w:after="0" w:line="240" w:lineRule="auto"/>
              <w:jc w:val="center"/>
              <w:rPr>
                <w:rFonts w:ascii="Times New Roman" w:hAnsi="Times New Roman"/>
                <w:sz w:val="18"/>
                <w:szCs w:val="18"/>
                <w:lang w:val="ro-RO" w:eastAsia="ru-RU"/>
              </w:rPr>
            </w:pPr>
          </w:p>
        </w:tc>
        <w:tc>
          <w:tcPr>
            <w:tcW w:w="1028"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329.0</w:t>
            </w:r>
          </w:p>
        </w:tc>
        <w:tc>
          <w:tcPr>
            <w:tcW w:w="1027" w:type="dxa"/>
            <w:tcBorders>
              <w:top w:val="nil"/>
              <w:left w:val="nil"/>
              <w:bottom w:val="single" w:sz="4" w:space="0" w:color="auto"/>
              <w:right w:val="single" w:sz="4" w:space="0" w:color="auto"/>
            </w:tcBorders>
            <w:noWrap/>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1643.8</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1764.7</w:t>
            </w:r>
          </w:p>
        </w:tc>
        <w:tc>
          <w:tcPr>
            <w:tcW w:w="1028" w:type="dxa"/>
            <w:tcBorders>
              <w:top w:val="nil"/>
              <w:left w:val="nil"/>
              <w:bottom w:val="single" w:sz="4" w:space="0" w:color="auto"/>
              <w:right w:val="single" w:sz="4" w:space="0" w:color="auto"/>
            </w:tcBorders>
            <w:hideMark/>
          </w:tcPr>
          <w:p w:rsidR="00F24302" w:rsidRPr="00C91C05" w:rsidRDefault="00F24302" w:rsidP="006B6AE0">
            <w:pPr>
              <w:spacing w:after="0" w:line="240" w:lineRule="auto"/>
              <w:jc w:val="center"/>
              <w:rPr>
                <w:rFonts w:ascii="Times New Roman" w:hAnsi="Times New Roman"/>
                <w:sz w:val="18"/>
                <w:szCs w:val="18"/>
                <w:lang w:val="ro-RO" w:eastAsia="ru-RU"/>
              </w:rPr>
            </w:pPr>
            <w:r w:rsidRPr="00C91C05">
              <w:rPr>
                <w:rFonts w:ascii="Times New Roman" w:hAnsi="Times New Roman"/>
                <w:sz w:val="18"/>
                <w:szCs w:val="18"/>
                <w:lang w:val="ro-RO" w:eastAsia="ru-RU"/>
              </w:rPr>
              <w:t>121.0</w:t>
            </w:r>
          </w:p>
        </w:tc>
      </w:tr>
    </w:tbl>
    <w:p w:rsidR="00F24302" w:rsidRPr="00121F51" w:rsidRDefault="00F24302" w:rsidP="00F24302">
      <w:pPr>
        <w:spacing w:line="240" w:lineRule="auto"/>
        <w:rPr>
          <w:rFonts w:ascii="Times New Roman" w:hAnsi="Times New Roman"/>
          <w:i/>
          <w:color w:val="7030A0"/>
          <w:sz w:val="20"/>
          <w:szCs w:val="20"/>
          <w:lang w:val="ro-RO"/>
        </w:rPr>
        <w:sectPr w:rsidR="00F24302" w:rsidRPr="00121F51" w:rsidSect="009A5760">
          <w:pgSz w:w="16838" w:h="11906" w:orient="landscape"/>
          <w:pgMar w:top="1701" w:right="1134" w:bottom="851" w:left="1134" w:header="709" w:footer="709" w:gutter="0"/>
          <w:cols w:space="708"/>
          <w:docGrid w:linePitch="360"/>
        </w:sectPr>
      </w:pPr>
      <w:r w:rsidRPr="00121F51">
        <w:rPr>
          <w:rFonts w:ascii="Times New Roman" w:hAnsi="Times New Roman"/>
          <w:b/>
          <w:i/>
          <w:sz w:val="20"/>
          <w:szCs w:val="20"/>
          <w:lang w:val="ro-RO"/>
        </w:rPr>
        <w:lastRenderedPageBreak/>
        <w:t xml:space="preserve">Sursă: </w:t>
      </w:r>
      <w:r w:rsidRPr="00121F51">
        <w:rPr>
          <w:rFonts w:ascii="Times New Roman" w:hAnsi="Times New Roman"/>
          <w:i/>
          <w:sz w:val="20"/>
          <w:szCs w:val="20"/>
          <w:lang w:val="ro-RO"/>
        </w:rPr>
        <w:t xml:space="preserve">Rapoartele privind executarea bugetelor UAT  </w:t>
      </w:r>
      <w:r w:rsidRPr="004D4A86">
        <w:rPr>
          <w:rFonts w:ascii="Times New Roman" w:hAnsi="Times New Roman"/>
          <w:i/>
          <w:sz w:val="20"/>
          <w:szCs w:val="20"/>
          <w:lang w:val="ro-RO"/>
        </w:rPr>
        <w:t>pe anul</w:t>
      </w:r>
      <w:r>
        <w:rPr>
          <w:rFonts w:ascii="Times New Roman" w:hAnsi="Times New Roman"/>
          <w:i/>
          <w:sz w:val="20"/>
          <w:szCs w:val="20"/>
          <w:lang w:val="ro-RO"/>
        </w:rPr>
        <w:t xml:space="preserve"> 2015</w:t>
      </w:r>
      <w:r w:rsidRPr="00121F51">
        <w:rPr>
          <w:rFonts w:ascii="Times New Roman" w:hAnsi="Times New Roman"/>
          <w:i/>
          <w:sz w:val="20"/>
          <w:szCs w:val="20"/>
          <w:lang w:val="ro-RO"/>
        </w:rPr>
        <w:t xml:space="preserve"> </w:t>
      </w:r>
    </w:p>
    <w:p w:rsidR="00F24302" w:rsidRPr="00121F51" w:rsidRDefault="00F24302" w:rsidP="00F24302">
      <w:pPr>
        <w:spacing w:line="240" w:lineRule="auto"/>
        <w:jc w:val="right"/>
        <w:rPr>
          <w:rFonts w:ascii="Times New Roman" w:hAnsi="Times New Roman"/>
          <w:i/>
          <w:sz w:val="20"/>
          <w:szCs w:val="20"/>
          <w:lang w:val="ro-RO"/>
        </w:rPr>
      </w:pPr>
      <w:r w:rsidRPr="00121F51">
        <w:rPr>
          <w:rFonts w:ascii="Times New Roman" w:hAnsi="Times New Roman"/>
          <w:b/>
          <w:sz w:val="24"/>
          <w:szCs w:val="24"/>
          <w:lang w:val="ro-RO"/>
        </w:rPr>
        <w:lastRenderedPageBreak/>
        <w:t>Anexa nr.5</w:t>
      </w:r>
    </w:p>
    <w:p w:rsidR="00F24302" w:rsidRPr="00121F51" w:rsidRDefault="00F24302" w:rsidP="00F24302">
      <w:pPr>
        <w:spacing w:after="0" w:line="240" w:lineRule="auto"/>
        <w:jc w:val="center"/>
        <w:rPr>
          <w:rFonts w:ascii="Times New Roman" w:hAnsi="Times New Roman"/>
          <w:sz w:val="24"/>
          <w:szCs w:val="24"/>
          <w:lang w:val="ro-RO"/>
        </w:rPr>
      </w:pPr>
      <w:r w:rsidRPr="00121F51">
        <w:rPr>
          <w:rFonts w:ascii="Times New Roman" w:hAnsi="Times New Roman"/>
          <w:b/>
          <w:sz w:val="24"/>
          <w:szCs w:val="24"/>
          <w:lang w:val="ro-RO"/>
        </w:rPr>
        <w:t xml:space="preserve">Executarea cheltuielilor bugetului raionului Sîngerei potrivit </w:t>
      </w:r>
      <w:r>
        <w:rPr>
          <w:rFonts w:ascii="Times New Roman" w:hAnsi="Times New Roman"/>
          <w:b/>
          <w:sz w:val="24"/>
          <w:szCs w:val="24"/>
          <w:lang w:val="ro-RO"/>
        </w:rPr>
        <w:t>C</w:t>
      </w:r>
      <w:r w:rsidRPr="00121F51">
        <w:rPr>
          <w:rFonts w:ascii="Times New Roman" w:hAnsi="Times New Roman"/>
          <w:b/>
          <w:sz w:val="24"/>
          <w:szCs w:val="24"/>
          <w:lang w:val="ro-RO"/>
        </w:rPr>
        <w:t>lasifica</w:t>
      </w:r>
      <w:r w:rsidRPr="0030397B">
        <w:rPr>
          <w:rFonts w:ascii="Times New Roman" w:hAnsi="Times New Roman"/>
          <w:b/>
          <w:sz w:val="24"/>
          <w:szCs w:val="24"/>
          <w:lang w:val="ro-RO"/>
        </w:rPr>
        <w:t>ț</w:t>
      </w:r>
      <w:r w:rsidRPr="00075194">
        <w:rPr>
          <w:rFonts w:ascii="Times New Roman" w:hAnsi="Times New Roman"/>
          <w:b/>
          <w:sz w:val="24"/>
          <w:szCs w:val="24"/>
          <w:lang w:val="ro-RO"/>
        </w:rPr>
        <w:t>ie</w:t>
      </w:r>
      <w:r w:rsidRPr="00121F51">
        <w:rPr>
          <w:rFonts w:ascii="Times New Roman" w:hAnsi="Times New Roman"/>
          <w:b/>
          <w:sz w:val="24"/>
          <w:szCs w:val="24"/>
          <w:lang w:val="ro-RO"/>
        </w:rPr>
        <w:t>i economice</w:t>
      </w:r>
    </w:p>
    <w:p w:rsidR="00F24302" w:rsidRPr="00121F51" w:rsidRDefault="00F24302" w:rsidP="00F24302">
      <w:pPr>
        <w:tabs>
          <w:tab w:val="left" w:pos="3276"/>
          <w:tab w:val="center" w:pos="7285"/>
        </w:tabs>
        <w:spacing w:after="0" w:line="240" w:lineRule="auto"/>
        <w:rPr>
          <w:rFonts w:ascii="Times New Roman" w:hAnsi="Times New Roman"/>
          <w:bCs/>
          <w:i/>
          <w:iCs/>
          <w:sz w:val="20"/>
          <w:szCs w:val="20"/>
          <w:lang w:val="ro-RO" w:eastAsia="ru-RU"/>
        </w:rPr>
      </w:pPr>
      <w:r w:rsidRPr="00121F51">
        <w:rPr>
          <w:rFonts w:ascii="Times New Roman" w:hAnsi="Times New Roman"/>
          <w:b/>
          <w:sz w:val="24"/>
          <w:szCs w:val="24"/>
          <w:lang w:val="ro-RO"/>
        </w:rPr>
        <w:tab/>
      </w:r>
      <w:r w:rsidRPr="00121F51">
        <w:rPr>
          <w:rFonts w:ascii="Times New Roman" w:hAnsi="Times New Roman"/>
          <w:b/>
          <w:sz w:val="24"/>
          <w:szCs w:val="24"/>
          <w:lang w:val="ro-RO"/>
        </w:rPr>
        <w:tab/>
        <w:t>pe anul 2015</w:t>
      </w:r>
    </w:p>
    <w:p w:rsidR="00F24302" w:rsidRPr="0030397B" w:rsidRDefault="00F24302" w:rsidP="00F24302">
      <w:pPr>
        <w:spacing w:after="0" w:line="240" w:lineRule="auto"/>
        <w:jc w:val="right"/>
        <w:rPr>
          <w:rFonts w:ascii="Times New Roman" w:hAnsi="Times New Roman"/>
          <w:b/>
          <w:i/>
          <w:sz w:val="24"/>
          <w:szCs w:val="24"/>
          <w:lang w:val="ro-RO"/>
        </w:rPr>
      </w:pPr>
      <w:r w:rsidRPr="0030397B">
        <w:rPr>
          <w:rFonts w:ascii="Times New Roman" w:hAnsi="Times New Roman"/>
          <w:bCs/>
          <w:i/>
          <w:iCs/>
          <w:sz w:val="20"/>
          <w:szCs w:val="20"/>
          <w:lang w:val="ro-RO" w:eastAsia="ru-RU"/>
        </w:rPr>
        <w:t>(mii lei)</w:t>
      </w:r>
    </w:p>
    <w:tbl>
      <w:tblPr>
        <w:tblW w:w="154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7223"/>
        <w:gridCol w:w="708"/>
        <w:gridCol w:w="1134"/>
        <w:gridCol w:w="1134"/>
        <w:gridCol w:w="1134"/>
        <w:gridCol w:w="1134"/>
        <w:gridCol w:w="1134"/>
        <w:gridCol w:w="1134"/>
      </w:tblGrid>
      <w:tr w:rsidR="00F24302" w:rsidRPr="00121F51" w:rsidTr="006B6AE0">
        <w:trPr>
          <w:trHeight w:val="1395"/>
        </w:trPr>
        <w:tc>
          <w:tcPr>
            <w:tcW w:w="682"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Nr. d/o</w:t>
            </w:r>
          </w:p>
        </w:tc>
        <w:tc>
          <w:tcPr>
            <w:tcW w:w="7223"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Specifica</w:t>
            </w:r>
            <w:r w:rsidRPr="00121F51">
              <w:rPr>
                <w:rFonts w:ascii="Cambria Math" w:hAnsi="Cambria Math" w:cs="Cambria Math"/>
                <w:bCs/>
                <w:sz w:val="20"/>
                <w:szCs w:val="20"/>
                <w:lang w:val="ro-RO"/>
              </w:rPr>
              <w:t>ț</w:t>
            </w:r>
            <w:r w:rsidRPr="00121F51">
              <w:rPr>
                <w:rFonts w:ascii="Times New Roman" w:hAnsi="Times New Roman"/>
                <w:bCs/>
                <w:sz w:val="20"/>
                <w:szCs w:val="20"/>
                <w:lang w:val="ro-RO"/>
              </w:rPr>
              <w:t>ia</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Art. de cheltuieli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Aprobat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Rectificat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Executat</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Ponderea, %</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Devieri executat fa</w:t>
            </w:r>
            <w:r w:rsidRPr="00121F51">
              <w:rPr>
                <w:rFonts w:ascii="Cambria Math" w:hAnsi="Cambria Math" w:cs="Cambria Math"/>
                <w:bCs/>
                <w:sz w:val="20"/>
                <w:szCs w:val="20"/>
                <w:lang w:val="ro-RO"/>
              </w:rPr>
              <w:t>ț</w:t>
            </w:r>
            <w:r w:rsidRPr="00121F51">
              <w:rPr>
                <w:rFonts w:ascii="Times New Roman" w:hAnsi="Times New Roman"/>
                <w:bCs/>
                <w:sz w:val="20"/>
                <w:szCs w:val="20"/>
                <w:lang w:val="ro-RO"/>
              </w:rPr>
              <w:t>ă de rectificat  (+; -)</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Raport executat/ rectificat (%)</w:t>
            </w:r>
          </w:p>
        </w:tc>
      </w:tr>
      <w:tr w:rsidR="00F24302" w:rsidRPr="00121F51" w:rsidTr="006B6AE0">
        <w:trPr>
          <w:trHeight w:val="255"/>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3</w:t>
            </w:r>
          </w:p>
        </w:tc>
        <w:tc>
          <w:tcPr>
            <w:tcW w:w="113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4</w:t>
            </w:r>
          </w:p>
        </w:tc>
        <w:tc>
          <w:tcPr>
            <w:tcW w:w="113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5</w:t>
            </w:r>
          </w:p>
        </w:tc>
        <w:tc>
          <w:tcPr>
            <w:tcW w:w="113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6</w:t>
            </w:r>
          </w:p>
        </w:tc>
        <w:tc>
          <w:tcPr>
            <w:tcW w:w="113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7</w:t>
            </w:r>
          </w:p>
        </w:tc>
        <w:tc>
          <w:tcPr>
            <w:tcW w:w="113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8</w:t>
            </w:r>
          </w:p>
        </w:tc>
        <w:tc>
          <w:tcPr>
            <w:tcW w:w="1134"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w:t>
            </w:r>
          </w:p>
        </w:tc>
      </w:tr>
      <w:tr w:rsidR="00F24302" w:rsidRPr="00121F51" w:rsidTr="006B6AE0">
        <w:trPr>
          <w:trHeight w:val="220"/>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 </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Cheltuieli totale, din care:</w:t>
            </w:r>
          </w:p>
        </w:tc>
        <w:tc>
          <w:tcPr>
            <w:tcW w:w="708"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241509,5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312512,8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285238,7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-27274,1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91,3</w:t>
            </w:r>
          </w:p>
        </w:tc>
      </w:tr>
      <w:tr w:rsidR="00F24302" w:rsidRPr="00121F51" w:rsidTr="006B6AE0">
        <w:trPr>
          <w:trHeight w:val="270"/>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 xml:space="preserve">Retribuirea muncii </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113124,8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112066,9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110189,6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38,6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-1877,3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98,3</w:t>
            </w:r>
          </w:p>
        </w:tc>
      </w:tr>
      <w:tr w:rsidR="00F24302" w:rsidRPr="00121F51" w:rsidTr="006B6AE0">
        <w:trPr>
          <w:trHeight w:val="199"/>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Contribu</w:t>
            </w:r>
            <w:r w:rsidRPr="00121F51">
              <w:rPr>
                <w:rFonts w:ascii="Cambria Math" w:hAnsi="Cambria Math" w:cs="Cambria Math"/>
                <w:bCs/>
                <w:sz w:val="20"/>
                <w:szCs w:val="20"/>
                <w:lang w:val="ro-RO"/>
              </w:rPr>
              <w:t>ț</w:t>
            </w:r>
            <w:r w:rsidRPr="00121F51">
              <w:rPr>
                <w:rFonts w:ascii="Times New Roman" w:hAnsi="Times New Roman"/>
                <w:bCs/>
                <w:sz w:val="20"/>
                <w:szCs w:val="20"/>
                <w:lang w:val="ro-RO"/>
              </w:rPr>
              <w:t>ii de asigurări sociale de stat obligatorii</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24246,1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24299,6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23713,4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-586,2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97,6</w:t>
            </w:r>
          </w:p>
        </w:tc>
      </w:tr>
      <w:tr w:rsidR="00F24302" w:rsidRPr="00121F51" w:rsidTr="006B6AE0">
        <w:trPr>
          <w:trHeight w:val="283"/>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3.</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 xml:space="preserve">Plata mărfurilor </w:t>
            </w:r>
            <w:r w:rsidRPr="00121F51">
              <w:rPr>
                <w:rFonts w:ascii="Cambria Math" w:hAnsi="Cambria Math" w:cs="Cambria Math"/>
                <w:bCs/>
                <w:sz w:val="20"/>
                <w:szCs w:val="20"/>
                <w:lang w:val="ro-RO"/>
              </w:rPr>
              <w:t>ș</w:t>
            </w:r>
            <w:r w:rsidRPr="00121F51">
              <w:rPr>
                <w:rFonts w:ascii="Times New Roman" w:hAnsi="Times New Roman"/>
                <w:bCs/>
                <w:sz w:val="20"/>
                <w:szCs w:val="20"/>
                <w:lang w:val="ro-RO"/>
              </w:rPr>
              <w:t>i serviciilor</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69839,3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63779,0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51459,8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-12319,2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80,7</w:t>
            </w:r>
          </w:p>
        </w:tc>
      </w:tr>
      <w:tr w:rsidR="00F24302" w:rsidRPr="00121F51" w:rsidTr="006B6AE0">
        <w:trPr>
          <w:trHeight w:val="184"/>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4.</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Deplasări în interes de serviciu</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487,7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490,7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356,4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-134,3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72,6</w:t>
            </w:r>
          </w:p>
        </w:tc>
      </w:tr>
      <w:tr w:rsidR="00F24302" w:rsidRPr="00121F51" w:rsidTr="006B6AE0">
        <w:trPr>
          <w:trHeight w:val="262"/>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5.</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Prime de asigurare obligatorie de asisten</w:t>
            </w:r>
            <w:r w:rsidRPr="00121F51">
              <w:rPr>
                <w:rFonts w:ascii="Cambria Math" w:hAnsi="Cambria Math" w:cs="Cambria Math"/>
                <w:bCs/>
                <w:sz w:val="20"/>
                <w:szCs w:val="20"/>
                <w:lang w:val="ro-RO"/>
              </w:rPr>
              <w:t>ț</w:t>
            </w:r>
            <w:r w:rsidRPr="00121F51">
              <w:rPr>
                <w:rFonts w:ascii="Times New Roman" w:hAnsi="Times New Roman"/>
                <w:bCs/>
                <w:sz w:val="20"/>
                <w:szCs w:val="20"/>
                <w:lang w:val="ro-RO"/>
              </w:rPr>
              <w:t>ă medicală achitate de patroni</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4234,3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4516,1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4442,9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-73,2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98,4</w:t>
            </w:r>
          </w:p>
        </w:tc>
      </w:tr>
      <w:tr w:rsidR="00F24302" w:rsidRPr="00121F51" w:rsidTr="006B6AE0">
        <w:trPr>
          <w:trHeight w:val="266"/>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6.</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Documente executorii</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118</w:t>
            </w:r>
          </w:p>
        </w:tc>
        <w:tc>
          <w:tcPr>
            <w:tcW w:w="1134"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spacing w:after="0" w:line="240" w:lineRule="auto"/>
              <w:jc w:val="center"/>
              <w:rPr>
                <w:rFonts w:ascii="Times New Roman" w:hAnsi="Times New Roman"/>
                <w:bCs/>
                <w:sz w:val="20"/>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7,1</w:t>
            </w:r>
          </w:p>
        </w:tc>
        <w:tc>
          <w:tcPr>
            <w:tcW w:w="1134"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spacing w:after="0" w:line="240" w:lineRule="auto"/>
              <w:jc w:val="center"/>
              <w:rPr>
                <w:rFonts w:ascii="Times New Roman" w:hAnsi="Times New Roman"/>
                <w:bCs/>
                <w:sz w:val="20"/>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spacing w:after="0" w:line="240" w:lineRule="auto"/>
              <w:jc w:val="center"/>
              <w:rPr>
                <w:rFonts w:ascii="Times New Roman" w:hAnsi="Times New Roman"/>
                <w:bCs/>
                <w:sz w:val="20"/>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100</w:t>
            </w:r>
          </w:p>
        </w:tc>
      </w:tr>
      <w:tr w:rsidR="00F24302" w:rsidRPr="00121F51" w:rsidTr="006B6AE0">
        <w:trPr>
          <w:trHeight w:val="147"/>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7.</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Plata dobînzilor</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621,0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635,7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534,5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-101,2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84,1</w:t>
            </w:r>
          </w:p>
        </w:tc>
      </w:tr>
      <w:tr w:rsidR="00F24302" w:rsidRPr="00121F51" w:rsidTr="006B6AE0">
        <w:trPr>
          <w:trHeight w:val="251"/>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8.</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Transferuri curente</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21460,9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23787,4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20527,4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-3260,0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86,3</w:t>
            </w:r>
          </w:p>
        </w:tc>
      </w:tr>
      <w:tr w:rsidR="00F24302" w:rsidRPr="00121F51" w:rsidTr="006B6AE0">
        <w:trPr>
          <w:trHeight w:val="264"/>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8.1.</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iCs/>
                <w:sz w:val="20"/>
                <w:szCs w:val="20"/>
                <w:lang w:val="ro-RO"/>
              </w:rPr>
            </w:pPr>
            <w:r w:rsidRPr="00121F51">
              <w:rPr>
                <w:rFonts w:ascii="Times New Roman" w:hAnsi="Times New Roman"/>
                <w:iCs/>
                <w:sz w:val="20"/>
                <w:szCs w:val="20"/>
                <w:lang w:val="ro-RO"/>
              </w:rPr>
              <w:t xml:space="preserve">Transferuri pentru produse </w:t>
            </w:r>
            <w:r w:rsidRPr="00121F51">
              <w:rPr>
                <w:rFonts w:ascii="Cambria Math" w:hAnsi="Cambria Math" w:cs="Cambria Math"/>
                <w:iCs/>
                <w:sz w:val="20"/>
                <w:szCs w:val="20"/>
                <w:lang w:val="ro-RO"/>
              </w:rPr>
              <w:t>ș</w:t>
            </w:r>
            <w:r w:rsidRPr="00121F51">
              <w:rPr>
                <w:rFonts w:ascii="Times New Roman" w:hAnsi="Times New Roman"/>
                <w:iCs/>
                <w:sz w:val="20"/>
                <w:szCs w:val="20"/>
                <w:lang w:val="ro-RO"/>
              </w:rPr>
              <w:t xml:space="preserve">i servicii </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4434,6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5292,2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5033,4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-258,8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95,1</w:t>
            </w:r>
          </w:p>
        </w:tc>
      </w:tr>
      <w:tr w:rsidR="00F24302" w:rsidRPr="00121F51" w:rsidTr="006B6AE0">
        <w:trPr>
          <w:trHeight w:val="265"/>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8.2.</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iCs/>
                <w:sz w:val="20"/>
                <w:szCs w:val="20"/>
                <w:lang w:val="ro-RO"/>
              </w:rPr>
            </w:pPr>
            <w:r w:rsidRPr="00121F51">
              <w:rPr>
                <w:rFonts w:ascii="Times New Roman" w:hAnsi="Times New Roman"/>
                <w:iCs/>
                <w:sz w:val="20"/>
                <w:szCs w:val="20"/>
                <w:lang w:val="ro-RO"/>
              </w:rPr>
              <w:t>Transferuri în scopuri de produc</w:t>
            </w:r>
            <w:r w:rsidRPr="00121F51">
              <w:rPr>
                <w:rFonts w:ascii="Cambria Math" w:hAnsi="Cambria Math" w:cs="Cambria Math"/>
                <w:iCs/>
                <w:sz w:val="20"/>
                <w:szCs w:val="20"/>
                <w:lang w:val="ro-RO"/>
              </w:rPr>
              <w:t>ț</w:t>
            </w:r>
            <w:r w:rsidRPr="00121F51">
              <w:rPr>
                <w:rFonts w:ascii="Times New Roman" w:hAnsi="Times New Roman"/>
                <w:iCs/>
                <w:sz w:val="20"/>
                <w:szCs w:val="20"/>
                <w:lang w:val="ro-RO"/>
              </w:rPr>
              <w:t>ie</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4750,0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4909,2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3154,7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-1754,5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64,3</w:t>
            </w:r>
          </w:p>
        </w:tc>
      </w:tr>
      <w:tr w:rsidR="00F24302" w:rsidRPr="00121F51" w:rsidTr="006B6AE0">
        <w:trPr>
          <w:trHeight w:val="259"/>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8.3.</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iCs/>
                <w:sz w:val="20"/>
                <w:szCs w:val="20"/>
                <w:lang w:val="ro-RO"/>
              </w:rPr>
            </w:pPr>
            <w:r w:rsidRPr="00121F51">
              <w:rPr>
                <w:rFonts w:ascii="Times New Roman" w:hAnsi="Times New Roman"/>
                <w:iCs/>
                <w:sz w:val="20"/>
                <w:szCs w:val="20"/>
                <w:lang w:val="ro-RO"/>
              </w:rPr>
              <w:t xml:space="preserve">Transferuri curente către bugetele de alt nivel </w:t>
            </w:r>
            <w:r w:rsidRPr="00121F51">
              <w:rPr>
                <w:rFonts w:ascii="Cambria Math" w:hAnsi="Cambria Math" w:cs="Cambria Math"/>
                <w:iCs/>
                <w:sz w:val="20"/>
                <w:szCs w:val="20"/>
                <w:lang w:val="ro-RO"/>
              </w:rPr>
              <w:t>ș</w:t>
            </w:r>
            <w:r w:rsidRPr="00121F51">
              <w:rPr>
                <w:rFonts w:ascii="Times New Roman" w:hAnsi="Times New Roman"/>
                <w:iCs/>
                <w:sz w:val="20"/>
                <w:szCs w:val="20"/>
                <w:lang w:val="ro-RO"/>
              </w:rPr>
              <w:t>i între componentele bugetului</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133</w:t>
            </w:r>
          </w:p>
        </w:tc>
        <w:tc>
          <w:tcPr>
            <w:tcW w:w="1134"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spacing w:after="0" w:line="240" w:lineRule="auto"/>
              <w:jc w:val="center"/>
              <w:rPr>
                <w:rFonts w:ascii="Times New Roman" w:hAnsi="Times New Roman"/>
                <w:iCs/>
                <w:sz w:val="20"/>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32,0</w:t>
            </w:r>
          </w:p>
        </w:tc>
        <w:tc>
          <w:tcPr>
            <w:tcW w:w="1134"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spacing w:after="0" w:line="240" w:lineRule="auto"/>
              <w:jc w:val="center"/>
              <w:rPr>
                <w:rFonts w:ascii="Times New Roman" w:hAnsi="Times New Roman"/>
                <w:bCs/>
                <w:sz w:val="20"/>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spacing w:after="0" w:line="240" w:lineRule="auto"/>
              <w:jc w:val="center"/>
              <w:rPr>
                <w:rFonts w:ascii="Times New Roman" w:hAnsi="Times New Roman"/>
                <w:bCs/>
                <w:sz w:val="20"/>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100</w:t>
            </w:r>
          </w:p>
        </w:tc>
      </w:tr>
      <w:tr w:rsidR="00F24302" w:rsidRPr="00121F51" w:rsidTr="006B6AE0">
        <w:trPr>
          <w:trHeight w:val="269"/>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8.4.</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iCs/>
                <w:sz w:val="20"/>
                <w:szCs w:val="20"/>
                <w:lang w:val="ro-RO"/>
              </w:rPr>
            </w:pPr>
            <w:r w:rsidRPr="00121F51">
              <w:rPr>
                <w:rFonts w:ascii="Times New Roman" w:hAnsi="Times New Roman"/>
                <w:iCs/>
                <w:sz w:val="20"/>
                <w:szCs w:val="20"/>
                <w:lang w:val="ro-RO"/>
              </w:rPr>
              <w:t>Transferuri către institu</w:t>
            </w:r>
            <w:r w:rsidRPr="00121F51">
              <w:rPr>
                <w:rFonts w:ascii="Cambria Math" w:hAnsi="Cambria Math" w:cs="Cambria Math"/>
                <w:iCs/>
                <w:sz w:val="20"/>
                <w:szCs w:val="20"/>
                <w:lang w:val="ro-RO"/>
              </w:rPr>
              <w:t>ț</w:t>
            </w:r>
            <w:r w:rsidRPr="00121F51">
              <w:rPr>
                <w:rFonts w:ascii="Times New Roman" w:hAnsi="Times New Roman"/>
                <w:iCs/>
                <w:sz w:val="20"/>
                <w:szCs w:val="20"/>
                <w:lang w:val="ro-RO"/>
              </w:rPr>
              <w:t xml:space="preserve">iile financiare </w:t>
            </w:r>
            <w:r w:rsidRPr="00121F51">
              <w:rPr>
                <w:rFonts w:ascii="Cambria Math" w:hAnsi="Cambria Math" w:cs="Cambria Math"/>
                <w:iCs/>
                <w:sz w:val="20"/>
                <w:szCs w:val="20"/>
                <w:lang w:val="ro-RO"/>
              </w:rPr>
              <w:t>ș</w:t>
            </w:r>
            <w:r w:rsidRPr="00121F51">
              <w:rPr>
                <w:rFonts w:ascii="Times New Roman" w:hAnsi="Times New Roman"/>
                <w:iCs/>
                <w:sz w:val="20"/>
                <w:szCs w:val="20"/>
                <w:lang w:val="ro-RO"/>
              </w:rPr>
              <w:t>i alte organiza</w:t>
            </w:r>
            <w:r w:rsidRPr="00121F51">
              <w:rPr>
                <w:rFonts w:ascii="Cambria Math" w:hAnsi="Cambria Math" w:cs="Cambria Math"/>
                <w:iCs/>
                <w:sz w:val="20"/>
                <w:szCs w:val="20"/>
                <w:lang w:val="ro-RO"/>
              </w:rPr>
              <w:t>ț</w:t>
            </w:r>
            <w:r w:rsidRPr="00121F51">
              <w:rPr>
                <w:rFonts w:ascii="Times New Roman" w:hAnsi="Times New Roman"/>
                <w:iCs/>
                <w:sz w:val="20"/>
                <w:szCs w:val="20"/>
                <w:lang w:val="ro-RO"/>
              </w:rPr>
              <w:t>ii</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1120,3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695,9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528,6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-167,3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76,0</w:t>
            </w:r>
          </w:p>
        </w:tc>
      </w:tr>
      <w:tr w:rsidR="00F24302" w:rsidRPr="00121F51" w:rsidTr="006B6AE0">
        <w:trPr>
          <w:trHeight w:val="275"/>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8.5.</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iCs/>
                <w:sz w:val="20"/>
                <w:szCs w:val="20"/>
                <w:lang w:val="ro-RO"/>
              </w:rPr>
            </w:pPr>
            <w:r w:rsidRPr="00121F51">
              <w:rPr>
                <w:rFonts w:ascii="Times New Roman" w:hAnsi="Times New Roman"/>
                <w:iCs/>
                <w:sz w:val="20"/>
                <w:szCs w:val="20"/>
                <w:lang w:val="ro-RO"/>
              </w:rPr>
              <w:t>Transferuri către popula</w:t>
            </w:r>
            <w:r w:rsidRPr="00121F51">
              <w:rPr>
                <w:rFonts w:ascii="Cambria Math" w:hAnsi="Cambria Math" w:cs="Cambria Math"/>
                <w:iCs/>
                <w:sz w:val="20"/>
                <w:szCs w:val="20"/>
                <w:lang w:val="ro-RO"/>
              </w:rPr>
              <w:t>ț</w:t>
            </w:r>
            <w:r w:rsidRPr="00121F51">
              <w:rPr>
                <w:rFonts w:ascii="Times New Roman" w:hAnsi="Times New Roman"/>
                <w:iCs/>
                <w:sz w:val="20"/>
                <w:szCs w:val="20"/>
                <w:lang w:val="ro-RO"/>
              </w:rPr>
              <w:t>ie</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11156,0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12858,1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11778,8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-1079,3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91,6</w:t>
            </w:r>
          </w:p>
        </w:tc>
      </w:tr>
      <w:tr w:rsidR="00F24302" w:rsidRPr="00121F51" w:rsidTr="006B6AE0">
        <w:trPr>
          <w:trHeight w:val="265"/>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9.</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Transferuri curente pentru implementarea proiectelor finan</w:t>
            </w:r>
            <w:r w:rsidRPr="0030397B">
              <w:rPr>
                <w:rFonts w:ascii="Times New Roman" w:hAnsi="Times New Roman"/>
                <w:bCs/>
                <w:sz w:val="20"/>
                <w:szCs w:val="20"/>
                <w:lang w:val="ro-RO"/>
              </w:rPr>
              <w:t>ț</w:t>
            </w:r>
            <w:r w:rsidRPr="00381C16">
              <w:rPr>
                <w:rFonts w:ascii="Times New Roman" w:hAnsi="Times New Roman"/>
                <w:bCs/>
                <w:sz w:val="20"/>
                <w:szCs w:val="20"/>
                <w:lang w:val="ro-RO"/>
              </w:rPr>
              <w:t>at</w:t>
            </w:r>
            <w:r w:rsidRPr="00121F51">
              <w:rPr>
                <w:rFonts w:ascii="Times New Roman" w:hAnsi="Times New Roman"/>
                <w:bCs/>
                <w:sz w:val="20"/>
                <w:szCs w:val="20"/>
                <w:lang w:val="ro-RO"/>
              </w:rPr>
              <w:t>e din surse externe</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190</w:t>
            </w:r>
          </w:p>
        </w:tc>
        <w:tc>
          <w:tcPr>
            <w:tcW w:w="1134"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spacing w:after="0" w:line="240" w:lineRule="auto"/>
              <w:jc w:val="center"/>
              <w:rPr>
                <w:rFonts w:ascii="Times New Roman" w:hAnsi="Times New Roman"/>
                <w:bCs/>
                <w:sz w:val="20"/>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679,8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551,7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-128,1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81,2</w:t>
            </w:r>
          </w:p>
        </w:tc>
      </w:tr>
      <w:tr w:rsidR="00F24302" w:rsidRPr="00121F51" w:rsidTr="006B6AE0">
        <w:trPr>
          <w:trHeight w:val="270"/>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10.</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Cheltuieli capitale</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7495,4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82263,7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73796,3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-8467,4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89,7</w:t>
            </w:r>
          </w:p>
        </w:tc>
      </w:tr>
      <w:tr w:rsidR="00F24302" w:rsidRPr="00121F51" w:rsidTr="006B6AE0">
        <w:trPr>
          <w:trHeight w:val="273"/>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10.1.</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iCs/>
                <w:sz w:val="20"/>
                <w:szCs w:val="20"/>
                <w:lang w:val="ro-RO"/>
              </w:rPr>
            </w:pPr>
            <w:r w:rsidRPr="00121F51">
              <w:rPr>
                <w:rFonts w:ascii="Times New Roman" w:hAnsi="Times New Roman"/>
                <w:iCs/>
                <w:sz w:val="20"/>
                <w:szCs w:val="20"/>
                <w:lang w:val="ro-RO"/>
              </w:rPr>
              <w:t>Investi</w:t>
            </w:r>
            <w:r w:rsidRPr="00121F51">
              <w:rPr>
                <w:rFonts w:ascii="Cambria Math" w:hAnsi="Cambria Math" w:cs="Cambria Math"/>
                <w:iCs/>
                <w:sz w:val="20"/>
                <w:szCs w:val="20"/>
                <w:lang w:val="ro-RO"/>
              </w:rPr>
              <w:t>ț</w:t>
            </w:r>
            <w:r w:rsidRPr="00121F51">
              <w:rPr>
                <w:rFonts w:ascii="Times New Roman" w:hAnsi="Times New Roman"/>
                <w:iCs/>
                <w:sz w:val="20"/>
                <w:szCs w:val="20"/>
                <w:lang w:val="ro-RO"/>
              </w:rPr>
              <w:t xml:space="preserve">ii </w:t>
            </w:r>
            <w:r w:rsidRPr="00121F51">
              <w:rPr>
                <w:rFonts w:ascii="Cambria Math" w:hAnsi="Cambria Math" w:cs="Cambria Math"/>
                <w:iCs/>
                <w:sz w:val="20"/>
                <w:szCs w:val="20"/>
                <w:lang w:val="ro-RO"/>
              </w:rPr>
              <w:t>ș</w:t>
            </w:r>
            <w:r w:rsidRPr="00121F51">
              <w:rPr>
                <w:rFonts w:ascii="Times New Roman" w:hAnsi="Times New Roman"/>
                <w:iCs/>
                <w:sz w:val="20"/>
                <w:szCs w:val="20"/>
                <w:lang w:val="ro-RO"/>
              </w:rPr>
              <w:t>i repara</w:t>
            </w:r>
            <w:r w:rsidRPr="00121F51">
              <w:rPr>
                <w:rFonts w:ascii="Cambria Math" w:hAnsi="Cambria Math" w:cs="Cambria Math"/>
                <w:iCs/>
                <w:sz w:val="20"/>
                <w:szCs w:val="20"/>
                <w:lang w:val="ro-RO"/>
              </w:rPr>
              <w:t>ț</w:t>
            </w:r>
            <w:r w:rsidRPr="00121F51">
              <w:rPr>
                <w:rFonts w:ascii="Times New Roman" w:hAnsi="Times New Roman"/>
                <w:iCs/>
                <w:sz w:val="20"/>
                <w:szCs w:val="20"/>
                <w:lang w:val="ro-RO"/>
              </w:rPr>
              <w:t>ii capitale</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7272,3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63171,6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57437,8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-5733,8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90,9</w:t>
            </w:r>
          </w:p>
        </w:tc>
      </w:tr>
      <w:tr w:rsidR="00F24302" w:rsidRPr="00121F51" w:rsidTr="006B6AE0">
        <w:trPr>
          <w:trHeight w:val="271"/>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10.2.</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iCs/>
                <w:sz w:val="20"/>
                <w:szCs w:val="20"/>
                <w:lang w:val="ro-RO"/>
              </w:rPr>
            </w:pPr>
            <w:r w:rsidRPr="00121F51">
              <w:rPr>
                <w:rFonts w:ascii="Times New Roman" w:hAnsi="Times New Roman"/>
                <w:iCs/>
                <w:sz w:val="20"/>
                <w:szCs w:val="20"/>
                <w:lang w:val="ro-RO"/>
              </w:rPr>
              <w:t>Transferuri capitale</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270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223,1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1098,6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iCs/>
                <w:sz w:val="20"/>
                <w:szCs w:val="20"/>
                <w:lang w:val="ro-RO"/>
              </w:rPr>
            </w:pPr>
            <w:r w:rsidRPr="00121F51">
              <w:rPr>
                <w:rFonts w:ascii="Times New Roman" w:hAnsi="Times New Roman"/>
                <w:iCs/>
                <w:sz w:val="20"/>
                <w:szCs w:val="20"/>
                <w:lang w:val="ro-RO"/>
              </w:rPr>
              <w:t>1017,9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-80,7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92,7</w:t>
            </w:r>
          </w:p>
        </w:tc>
      </w:tr>
      <w:tr w:rsidR="00F24302" w:rsidRPr="00121F51" w:rsidTr="006B6AE0">
        <w:trPr>
          <w:trHeight w:val="315"/>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10.3.</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Transferuri capitale pentru implementarea proiectelor finan</w:t>
            </w:r>
            <w:r>
              <w:rPr>
                <w:rFonts w:ascii="Times New Roman" w:hAnsi="Times New Roman"/>
                <w:bCs/>
                <w:sz w:val="20"/>
                <w:szCs w:val="20"/>
                <w:lang w:val="ro-RO"/>
              </w:rPr>
              <w:t>ț</w:t>
            </w:r>
            <w:r w:rsidRPr="00121F51">
              <w:rPr>
                <w:rFonts w:ascii="Times New Roman" w:hAnsi="Times New Roman"/>
                <w:bCs/>
                <w:sz w:val="20"/>
                <w:szCs w:val="20"/>
                <w:lang w:val="ro-RO"/>
              </w:rPr>
              <w:t>ate din surse externe</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290</w:t>
            </w:r>
          </w:p>
        </w:tc>
        <w:tc>
          <w:tcPr>
            <w:tcW w:w="1134"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spacing w:after="0" w:line="240" w:lineRule="auto"/>
              <w:jc w:val="center"/>
              <w:rPr>
                <w:rFonts w:ascii="Times New Roman" w:hAnsi="Times New Roman"/>
                <w:bCs/>
                <w:sz w:val="20"/>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17993,6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15340,6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-2653,0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85,3</w:t>
            </w:r>
          </w:p>
        </w:tc>
      </w:tr>
      <w:tr w:rsidR="00F24302" w:rsidRPr="00121F51" w:rsidTr="006B6AE0">
        <w:trPr>
          <w:trHeight w:val="315"/>
        </w:trPr>
        <w:tc>
          <w:tcPr>
            <w:tcW w:w="682"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11.</w:t>
            </w:r>
          </w:p>
        </w:tc>
        <w:tc>
          <w:tcPr>
            <w:tcW w:w="7223"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Creditarea netă</w:t>
            </w:r>
          </w:p>
        </w:tc>
        <w:tc>
          <w:tcPr>
            <w:tcW w:w="708"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600</w:t>
            </w:r>
          </w:p>
        </w:tc>
        <w:tc>
          <w:tcPr>
            <w:tcW w:w="1134"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spacing w:after="0" w:line="240" w:lineRule="auto"/>
              <w:jc w:val="center"/>
              <w:rPr>
                <w:rFonts w:ascii="Times New Roman" w:hAnsi="Times New Roman"/>
                <w:bCs/>
                <w:sz w:val="20"/>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-340,4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-327,2</w:t>
            </w:r>
          </w:p>
        </w:tc>
        <w:tc>
          <w:tcPr>
            <w:tcW w:w="1134" w:type="dxa"/>
            <w:tcBorders>
              <w:top w:val="single" w:sz="4" w:space="0" w:color="auto"/>
              <w:left w:val="single" w:sz="4" w:space="0" w:color="auto"/>
              <w:bottom w:val="single" w:sz="4" w:space="0" w:color="auto"/>
              <w:right w:val="single" w:sz="4" w:space="0" w:color="auto"/>
            </w:tcBorders>
            <w:vAlign w:val="center"/>
          </w:tcPr>
          <w:p w:rsidR="00F24302" w:rsidRPr="00121F51" w:rsidRDefault="00F24302" w:rsidP="006B6AE0">
            <w:pPr>
              <w:spacing w:after="0" w:line="240" w:lineRule="auto"/>
              <w:jc w:val="center"/>
              <w:rPr>
                <w:rFonts w:ascii="Times New Roman" w:hAnsi="Times New Roman"/>
                <w:bCs/>
                <w:sz w:val="20"/>
                <w:szCs w:val="20"/>
                <w:lang w:val="ro-RO"/>
              </w:rPr>
            </w:pPr>
          </w:p>
        </w:tc>
      </w:tr>
    </w:tbl>
    <w:p w:rsidR="00F24302" w:rsidRPr="00121F51" w:rsidRDefault="00F24302" w:rsidP="00F24302">
      <w:pPr>
        <w:spacing w:after="0" w:line="240" w:lineRule="auto"/>
        <w:rPr>
          <w:rFonts w:ascii="Times New Roman" w:hAnsi="Times New Roman"/>
          <w:b/>
          <w:i/>
          <w:sz w:val="24"/>
          <w:szCs w:val="24"/>
          <w:lang w:val="ro-RO"/>
        </w:rPr>
      </w:pPr>
      <w:r w:rsidRPr="00121F51">
        <w:rPr>
          <w:rFonts w:ascii="Times New Roman" w:hAnsi="Times New Roman"/>
          <w:b/>
          <w:i/>
          <w:sz w:val="20"/>
          <w:szCs w:val="20"/>
          <w:lang w:val="ro-RO"/>
        </w:rPr>
        <w:t xml:space="preserve">Sursă: </w:t>
      </w:r>
      <w:r w:rsidRPr="00121F51">
        <w:rPr>
          <w:rFonts w:ascii="Times New Roman" w:hAnsi="Times New Roman"/>
          <w:i/>
          <w:sz w:val="20"/>
          <w:szCs w:val="20"/>
          <w:lang w:val="ro-RO"/>
        </w:rPr>
        <w:t>Rapoartele privind executarea bugetelor UAT la cheltuieli pe anul 2015.</w:t>
      </w:r>
    </w:p>
    <w:p w:rsidR="00F24302" w:rsidRDefault="00F24302" w:rsidP="00F24302">
      <w:pPr>
        <w:spacing w:after="0" w:line="240" w:lineRule="auto"/>
        <w:jc w:val="center"/>
        <w:rPr>
          <w:rFonts w:ascii="Times New Roman" w:hAnsi="Times New Roman"/>
          <w:b/>
          <w:color w:val="7030A0"/>
          <w:sz w:val="24"/>
          <w:szCs w:val="24"/>
          <w:lang w:val="ro-RO"/>
        </w:rPr>
      </w:pPr>
    </w:p>
    <w:p w:rsidR="00F24302" w:rsidRDefault="00F24302" w:rsidP="00F24302">
      <w:pPr>
        <w:spacing w:after="0" w:line="240" w:lineRule="auto"/>
        <w:jc w:val="center"/>
        <w:rPr>
          <w:rFonts w:ascii="Times New Roman" w:hAnsi="Times New Roman"/>
          <w:b/>
          <w:color w:val="7030A0"/>
          <w:sz w:val="24"/>
          <w:szCs w:val="24"/>
          <w:lang w:val="ro-RO"/>
        </w:rPr>
      </w:pPr>
    </w:p>
    <w:p w:rsidR="00F24302" w:rsidRPr="00121F51" w:rsidRDefault="00F24302" w:rsidP="00F24302">
      <w:pPr>
        <w:spacing w:after="0" w:line="240" w:lineRule="auto"/>
        <w:jc w:val="center"/>
        <w:rPr>
          <w:rFonts w:ascii="Times New Roman" w:hAnsi="Times New Roman"/>
          <w:b/>
          <w:color w:val="7030A0"/>
          <w:sz w:val="24"/>
          <w:szCs w:val="24"/>
          <w:lang w:val="ro-RO"/>
        </w:rPr>
      </w:pPr>
    </w:p>
    <w:p w:rsidR="00F24302" w:rsidRPr="00121F51" w:rsidRDefault="00F24302" w:rsidP="00F24302">
      <w:pPr>
        <w:spacing w:after="0" w:line="240" w:lineRule="auto"/>
        <w:jc w:val="right"/>
        <w:rPr>
          <w:rFonts w:ascii="Times New Roman" w:hAnsi="Times New Roman"/>
          <w:b/>
          <w:sz w:val="24"/>
          <w:szCs w:val="24"/>
          <w:lang w:val="ro-RO"/>
        </w:rPr>
      </w:pPr>
      <w:r w:rsidRPr="00121F51">
        <w:rPr>
          <w:rFonts w:ascii="Times New Roman" w:hAnsi="Times New Roman"/>
          <w:b/>
          <w:sz w:val="24"/>
          <w:szCs w:val="24"/>
          <w:lang w:val="ro-RO"/>
        </w:rPr>
        <w:lastRenderedPageBreak/>
        <w:t>Anexa nr.6</w:t>
      </w:r>
    </w:p>
    <w:p w:rsidR="00F24302" w:rsidRPr="00381C16" w:rsidRDefault="00F24302" w:rsidP="00F24302">
      <w:pPr>
        <w:spacing w:after="0" w:line="240" w:lineRule="auto"/>
        <w:jc w:val="center"/>
        <w:rPr>
          <w:rFonts w:ascii="Times New Roman" w:hAnsi="Times New Roman"/>
          <w:b/>
          <w:sz w:val="24"/>
          <w:szCs w:val="24"/>
          <w:lang w:val="ro-RO"/>
        </w:rPr>
      </w:pPr>
      <w:r w:rsidRPr="00381C16">
        <w:rPr>
          <w:rFonts w:ascii="Times New Roman" w:hAnsi="Times New Roman"/>
          <w:b/>
          <w:sz w:val="24"/>
          <w:szCs w:val="24"/>
          <w:lang w:val="ro-RO"/>
        </w:rPr>
        <w:t>Executarea cheltuielilor bugetului raionului Sîngerei pe anul 2015</w:t>
      </w:r>
    </w:p>
    <w:p w:rsidR="00F24302" w:rsidRPr="00381C16" w:rsidRDefault="00F24302" w:rsidP="00F24302">
      <w:pPr>
        <w:spacing w:after="0" w:line="240" w:lineRule="auto"/>
        <w:jc w:val="center"/>
        <w:rPr>
          <w:rFonts w:ascii="Times New Roman" w:hAnsi="Times New Roman"/>
          <w:b/>
          <w:sz w:val="24"/>
          <w:szCs w:val="24"/>
          <w:lang w:val="ro-RO"/>
        </w:rPr>
      </w:pPr>
      <w:r w:rsidRPr="00381C16">
        <w:rPr>
          <w:rFonts w:ascii="Times New Roman" w:hAnsi="Times New Roman"/>
          <w:b/>
          <w:sz w:val="24"/>
          <w:szCs w:val="24"/>
          <w:lang w:val="ro-RO"/>
        </w:rPr>
        <w:t xml:space="preserve">potrivit </w:t>
      </w:r>
      <w:r>
        <w:rPr>
          <w:rFonts w:ascii="Times New Roman" w:hAnsi="Times New Roman"/>
          <w:b/>
          <w:sz w:val="24"/>
          <w:szCs w:val="24"/>
          <w:lang w:val="ro-RO"/>
        </w:rPr>
        <w:t>C</w:t>
      </w:r>
      <w:r w:rsidRPr="00381C16">
        <w:rPr>
          <w:rFonts w:ascii="Times New Roman" w:hAnsi="Times New Roman"/>
          <w:b/>
          <w:sz w:val="24"/>
          <w:szCs w:val="24"/>
          <w:lang w:val="ro-RO"/>
        </w:rPr>
        <w:t>lasifica</w:t>
      </w:r>
      <w:r w:rsidRPr="0030397B">
        <w:rPr>
          <w:rFonts w:ascii="Times New Roman" w:hAnsi="Times New Roman"/>
          <w:b/>
          <w:sz w:val="24"/>
          <w:szCs w:val="24"/>
          <w:lang w:val="ro-RO"/>
        </w:rPr>
        <w:t>ț</w:t>
      </w:r>
      <w:r w:rsidRPr="00381C16">
        <w:rPr>
          <w:rFonts w:ascii="Times New Roman" w:hAnsi="Times New Roman"/>
          <w:b/>
          <w:sz w:val="24"/>
          <w:szCs w:val="24"/>
          <w:lang w:val="ro-RO"/>
        </w:rPr>
        <w:t>iei func</w:t>
      </w:r>
      <w:r w:rsidRPr="0030397B">
        <w:rPr>
          <w:rFonts w:ascii="Times New Roman" w:hAnsi="Times New Roman"/>
          <w:b/>
          <w:sz w:val="24"/>
          <w:szCs w:val="24"/>
          <w:lang w:val="ro-RO"/>
        </w:rPr>
        <w:t>ț</w:t>
      </w:r>
      <w:r w:rsidRPr="00381C16">
        <w:rPr>
          <w:rFonts w:ascii="Times New Roman" w:hAnsi="Times New Roman"/>
          <w:b/>
          <w:sz w:val="24"/>
          <w:szCs w:val="24"/>
          <w:lang w:val="ro-RO"/>
        </w:rPr>
        <w:t>ionale</w:t>
      </w:r>
    </w:p>
    <w:p w:rsidR="00F24302" w:rsidRPr="0030397B" w:rsidRDefault="00F24302" w:rsidP="00F24302">
      <w:pPr>
        <w:spacing w:after="0" w:line="240" w:lineRule="auto"/>
        <w:jc w:val="right"/>
        <w:rPr>
          <w:rFonts w:ascii="Times New Roman" w:hAnsi="Times New Roman"/>
          <w:i/>
          <w:sz w:val="20"/>
          <w:szCs w:val="20"/>
          <w:lang w:val="ro-RO"/>
        </w:rPr>
      </w:pPr>
      <w:r w:rsidRPr="0030397B">
        <w:rPr>
          <w:rFonts w:ascii="Times New Roman" w:hAnsi="Times New Roman"/>
          <w:i/>
          <w:sz w:val="20"/>
          <w:szCs w:val="20"/>
          <w:lang w:val="ro-RO"/>
        </w:rPr>
        <w:t xml:space="preserve">      (mii lei)</w:t>
      </w:r>
    </w:p>
    <w:tbl>
      <w:tblPr>
        <w:tblW w:w="15417" w:type="dxa"/>
        <w:tblInd w:w="-113" w:type="dxa"/>
        <w:tblLayout w:type="fixed"/>
        <w:tblLook w:val="00A0" w:firstRow="1" w:lastRow="0" w:firstColumn="1" w:lastColumn="0" w:noHBand="0" w:noVBand="0"/>
      </w:tblPr>
      <w:tblGrid>
        <w:gridCol w:w="535"/>
        <w:gridCol w:w="4960"/>
        <w:gridCol w:w="1240"/>
        <w:gridCol w:w="1240"/>
        <w:gridCol w:w="1240"/>
        <w:gridCol w:w="1241"/>
        <w:gridCol w:w="1240"/>
        <w:gridCol w:w="1240"/>
        <w:gridCol w:w="1240"/>
        <w:gridCol w:w="1241"/>
      </w:tblGrid>
      <w:tr w:rsidR="00F24302" w:rsidRPr="00121F51" w:rsidTr="006B6AE0">
        <w:trPr>
          <w:trHeight w:val="930"/>
        </w:trPr>
        <w:tc>
          <w:tcPr>
            <w:tcW w:w="535" w:type="dxa"/>
            <w:vMerge w:val="restart"/>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18"/>
                <w:szCs w:val="18"/>
                <w:lang w:val="ro-RO"/>
              </w:rPr>
            </w:pPr>
            <w:r w:rsidRPr="00121F51">
              <w:rPr>
                <w:rFonts w:ascii="Times New Roman" w:hAnsi="Times New Roman"/>
                <w:bCs/>
                <w:sz w:val="18"/>
                <w:szCs w:val="18"/>
                <w:lang w:val="ro-RO"/>
              </w:rPr>
              <w:t>Gr. prin.</w:t>
            </w:r>
          </w:p>
        </w:tc>
        <w:tc>
          <w:tcPr>
            <w:tcW w:w="4960" w:type="dxa"/>
            <w:vMerge w:val="restart"/>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bCs/>
                <w:sz w:val="20"/>
                <w:szCs w:val="20"/>
                <w:lang w:val="ro-RO"/>
              </w:rPr>
            </w:pPr>
          </w:p>
          <w:p w:rsidR="00F24302" w:rsidRPr="00121F51" w:rsidRDefault="00F24302" w:rsidP="006B6AE0">
            <w:pPr>
              <w:spacing w:after="0" w:line="240" w:lineRule="auto"/>
              <w:jc w:val="center"/>
              <w:rPr>
                <w:rFonts w:ascii="Times New Roman" w:hAnsi="Times New Roman"/>
                <w:bCs/>
                <w:sz w:val="20"/>
                <w:szCs w:val="20"/>
                <w:lang w:val="ro-RO"/>
              </w:rPr>
            </w:pPr>
          </w:p>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Specifica</w:t>
            </w:r>
            <w:r w:rsidRPr="00121F51">
              <w:rPr>
                <w:rFonts w:ascii="Cambria Math" w:hAnsi="Cambria Math" w:cs="Cambria Math"/>
                <w:bCs/>
                <w:sz w:val="20"/>
                <w:szCs w:val="20"/>
                <w:lang w:val="ro-RO"/>
              </w:rPr>
              <w:t>ț</w:t>
            </w:r>
            <w:r w:rsidRPr="00121F51">
              <w:rPr>
                <w:rFonts w:ascii="Times New Roman" w:hAnsi="Times New Roman"/>
                <w:bCs/>
                <w:sz w:val="20"/>
                <w:szCs w:val="20"/>
                <w:lang w:val="ro-RO"/>
              </w:rPr>
              <w:t>ia</w:t>
            </w:r>
          </w:p>
        </w:tc>
        <w:tc>
          <w:tcPr>
            <w:tcW w:w="1240" w:type="dxa"/>
            <w:vMerge w:val="restart"/>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bCs/>
                <w:sz w:val="20"/>
                <w:szCs w:val="20"/>
                <w:lang w:val="ro-RO"/>
              </w:rPr>
            </w:pPr>
          </w:p>
          <w:p w:rsidR="00F24302" w:rsidRPr="00121F51" w:rsidRDefault="00F24302" w:rsidP="006B6AE0">
            <w:pPr>
              <w:spacing w:after="0" w:line="240" w:lineRule="auto"/>
              <w:jc w:val="center"/>
              <w:rPr>
                <w:rFonts w:ascii="Times New Roman" w:hAnsi="Times New Roman"/>
                <w:bCs/>
                <w:sz w:val="20"/>
                <w:szCs w:val="20"/>
                <w:lang w:val="ro-RO"/>
              </w:rPr>
            </w:pPr>
          </w:p>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Aprobat</w:t>
            </w:r>
          </w:p>
        </w:tc>
        <w:tc>
          <w:tcPr>
            <w:tcW w:w="1240" w:type="dxa"/>
            <w:vMerge w:val="restart"/>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bCs/>
                <w:sz w:val="20"/>
                <w:szCs w:val="20"/>
                <w:lang w:val="ro-RO"/>
              </w:rPr>
            </w:pPr>
          </w:p>
          <w:p w:rsidR="00F24302" w:rsidRPr="00121F51" w:rsidRDefault="00F24302" w:rsidP="006B6AE0">
            <w:pPr>
              <w:spacing w:after="0" w:line="240" w:lineRule="auto"/>
              <w:jc w:val="center"/>
              <w:rPr>
                <w:rFonts w:ascii="Times New Roman" w:hAnsi="Times New Roman"/>
                <w:bCs/>
                <w:sz w:val="20"/>
                <w:szCs w:val="20"/>
                <w:lang w:val="ro-RO"/>
              </w:rPr>
            </w:pPr>
          </w:p>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Rectificat</w:t>
            </w:r>
          </w:p>
        </w:tc>
        <w:tc>
          <w:tcPr>
            <w:tcW w:w="1240" w:type="dxa"/>
            <w:vMerge w:val="restart"/>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bCs/>
                <w:sz w:val="20"/>
                <w:szCs w:val="20"/>
                <w:lang w:val="ro-RO"/>
              </w:rPr>
            </w:pPr>
          </w:p>
          <w:p w:rsidR="00F24302" w:rsidRPr="00121F51" w:rsidRDefault="00F24302" w:rsidP="006B6AE0">
            <w:pPr>
              <w:spacing w:after="0" w:line="240" w:lineRule="auto"/>
              <w:jc w:val="center"/>
              <w:rPr>
                <w:rFonts w:ascii="Times New Roman" w:hAnsi="Times New Roman"/>
                <w:bCs/>
                <w:sz w:val="20"/>
                <w:szCs w:val="20"/>
                <w:lang w:val="ro-RO"/>
              </w:rPr>
            </w:pPr>
          </w:p>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Executat</w:t>
            </w:r>
          </w:p>
        </w:tc>
        <w:tc>
          <w:tcPr>
            <w:tcW w:w="1241" w:type="dxa"/>
            <w:vMerge w:val="restart"/>
            <w:tcBorders>
              <w:top w:val="single" w:sz="4" w:space="0" w:color="auto"/>
              <w:left w:val="single" w:sz="4" w:space="0" w:color="auto"/>
              <w:bottom w:val="single" w:sz="4" w:space="0" w:color="auto"/>
              <w:right w:val="single" w:sz="4" w:space="0" w:color="auto"/>
            </w:tcBorders>
            <w:textDirection w:val="btL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Cheltuieli efective</w:t>
            </w:r>
          </w:p>
        </w:tc>
        <w:tc>
          <w:tcPr>
            <w:tcW w:w="1240" w:type="dxa"/>
            <w:vMerge w:val="restart"/>
            <w:tcBorders>
              <w:top w:val="single" w:sz="4" w:space="0" w:color="auto"/>
              <w:left w:val="single" w:sz="4" w:space="0" w:color="auto"/>
              <w:bottom w:val="single" w:sz="4" w:space="0" w:color="auto"/>
              <w:right w:val="single" w:sz="4" w:space="0" w:color="auto"/>
            </w:tcBorders>
            <w:textDirection w:val="btL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Ponderea în totalul cheltuielilor efective, %</w:t>
            </w:r>
          </w:p>
        </w:tc>
        <w:tc>
          <w:tcPr>
            <w:tcW w:w="1240" w:type="dxa"/>
            <w:vMerge w:val="restart"/>
            <w:tcBorders>
              <w:top w:val="single" w:sz="4" w:space="0" w:color="auto"/>
              <w:left w:val="single" w:sz="4" w:space="0" w:color="auto"/>
              <w:bottom w:val="single" w:sz="4" w:space="0" w:color="auto"/>
              <w:right w:val="single" w:sz="4" w:space="0" w:color="auto"/>
            </w:tcBorders>
            <w:textDirection w:val="btLr"/>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Devieri (+; -)</w:t>
            </w:r>
          </w:p>
        </w:tc>
        <w:tc>
          <w:tcPr>
            <w:tcW w:w="1240" w:type="dxa"/>
            <w:vMerge w:val="restart"/>
            <w:tcBorders>
              <w:top w:val="single" w:sz="4" w:space="0" w:color="auto"/>
              <w:left w:val="single" w:sz="4" w:space="0" w:color="auto"/>
              <w:bottom w:val="single" w:sz="4" w:space="0" w:color="auto"/>
              <w:right w:val="single" w:sz="4" w:space="0" w:color="auto"/>
            </w:tcBorders>
            <w:textDirection w:val="btLr"/>
          </w:tcPr>
          <w:p w:rsidR="00F24302" w:rsidRPr="00121F51" w:rsidRDefault="00F24302" w:rsidP="006B6AE0">
            <w:pPr>
              <w:spacing w:after="0" w:line="240" w:lineRule="auto"/>
              <w:jc w:val="center"/>
              <w:rPr>
                <w:rFonts w:ascii="Times New Roman" w:hAnsi="Times New Roman"/>
                <w:bCs/>
                <w:sz w:val="20"/>
                <w:szCs w:val="20"/>
                <w:lang w:val="ro-RO"/>
              </w:rPr>
            </w:pPr>
          </w:p>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  executării</w:t>
            </w:r>
          </w:p>
        </w:tc>
        <w:tc>
          <w:tcPr>
            <w:tcW w:w="1241" w:type="dxa"/>
            <w:vMerge w:val="restart"/>
            <w:tcBorders>
              <w:top w:val="single" w:sz="4" w:space="0" w:color="auto"/>
              <w:left w:val="single" w:sz="4" w:space="0" w:color="auto"/>
              <w:bottom w:val="single" w:sz="4" w:space="0" w:color="auto"/>
              <w:right w:val="single" w:sz="4" w:space="0" w:color="auto"/>
            </w:tcBorders>
            <w:textDirection w:val="btLr"/>
          </w:tcPr>
          <w:p w:rsidR="00F24302" w:rsidRPr="00121F51" w:rsidRDefault="00F24302" w:rsidP="006B6AE0">
            <w:pPr>
              <w:spacing w:after="0" w:line="240" w:lineRule="auto"/>
              <w:rPr>
                <w:rFonts w:ascii="Times New Roman" w:hAnsi="Times New Roman"/>
                <w:bCs/>
                <w:sz w:val="20"/>
                <w:szCs w:val="20"/>
                <w:lang w:val="ro-RO"/>
              </w:rPr>
            </w:pPr>
          </w:p>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Devieri (+; -)</w:t>
            </w:r>
          </w:p>
        </w:tc>
      </w:tr>
      <w:tr w:rsidR="00F24302" w:rsidRPr="00121F51" w:rsidTr="006B6AE0">
        <w:trPr>
          <w:trHeight w:val="255"/>
        </w:trPr>
        <w:tc>
          <w:tcPr>
            <w:tcW w:w="535" w:type="dxa"/>
            <w:vMerge/>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18"/>
                <w:szCs w:val="18"/>
                <w:lang w:val="ro-RO"/>
              </w:rPr>
            </w:pPr>
          </w:p>
        </w:tc>
        <w:tc>
          <w:tcPr>
            <w:tcW w:w="4960" w:type="dxa"/>
            <w:vMerge/>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p>
        </w:tc>
        <w:tc>
          <w:tcPr>
            <w:tcW w:w="1240" w:type="dxa"/>
            <w:vMerge/>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p>
        </w:tc>
        <w:tc>
          <w:tcPr>
            <w:tcW w:w="1240" w:type="dxa"/>
            <w:vMerge/>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p>
        </w:tc>
        <w:tc>
          <w:tcPr>
            <w:tcW w:w="1240" w:type="dxa"/>
            <w:vMerge/>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p>
        </w:tc>
        <w:tc>
          <w:tcPr>
            <w:tcW w:w="1241" w:type="dxa"/>
            <w:vMerge/>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p>
        </w:tc>
        <w:tc>
          <w:tcPr>
            <w:tcW w:w="1240" w:type="dxa"/>
            <w:vMerge/>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p>
        </w:tc>
        <w:tc>
          <w:tcPr>
            <w:tcW w:w="1240" w:type="dxa"/>
            <w:vMerge/>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p>
        </w:tc>
        <w:tc>
          <w:tcPr>
            <w:tcW w:w="1240" w:type="dxa"/>
            <w:vMerge/>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p>
        </w:tc>
        <w:tc>
          <w:tcPr>
            <w:tcW w:w="1241" w:type="dxa"/>
            <w:vMerge/>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p>
        </w:tc>
      </w:tr>
      <w:tr w:rsidR="00F24302" w:rsidRPr="00121F51" w:rsidTr="006B6AE0">
        <w:trPr>
          <w:trHeight w:val="255"/>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w:t>
            </w:r>
          </w:p>
        </w:tc>
        <w:tc>
          <w:tcPr>
            <w:tcW w:w="496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3</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4</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5</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7</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8=6-4</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9=5:4</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10=5-4</w:t>
            </w:r>
          </w:p>
        </w:tc>
      </w:tr>
      <w:tr w:rsidR="00F24302" w:rsidRPr="00121F51" w:rsidTr="006B6AE0">
        <w:trPr>
          <w:trHeight w:val="264"/>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 </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bCs/>
                <w:sz w:val="20"/>
                <w:szCs w:val="20"/>
                <w:lang w:val="ro-RO"/>
              </w:rPr>
            </w:pPr>
            <w:r w:rsidRPr="009264F0">
              <w:rPr>
                <w:rFonts w:ascii="Times New Roman" w:hAnsi="Times New Roman"/>
                <w:bCs/>
                <w:sz w:val="20"/>
                <w:szCs w:val="20"/>
                <w:lang w:val="ro-RO"/>
              </w:rPr>
              <w:t xml:space="preserve">Cheltuieli totale, din care: </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241509,5</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312512,8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285238,7</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285074,1</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100</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-27438,7</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91,3</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-27274,1</w:t>
            </w:r>
          </w:p>
        </w:tc>
      </w:tr>
      <w:tr w:rsidR="00F24302" w:rsidRPr="00121F51" w:rsidTr="006B6AE0">
        <w:trPr>
          <w:trHeight w:val="225"/>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1</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Serviciile de stat cu destina</w:t>
            </w:r>
            <w:r w:rsidRPr="0030397B">
              <w:rPr>
                <w:rFonts w:ascii="Times New Roman" w:hAnsi="Times New Roman"/>
                <w:sz w:val="20"/>
                <w:szCs w:val="20"/>
                <w:lang w:val="ro-RO"/>
              </w:rPr>
              <w:t>ț</w:t>
            </w:r>
            <w:r w:rsidRPr="009264F0">
              <w:rPr>
                <w:rFonts w:ascii="Times New Roman" w:hAnsi="Times New Roman"/>
                <w:sz w:val="20"/>
                <w:szCs w:val="20"/>
                <w:lang w:val="ro-RO"/>
              </w:rPr>
              <w:t>ie generală</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18149,6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highlight w:val="yellow"/>
                <w:lang w:val="ro-RO"/>
              </w:rPr>
            </w:pPr>
            <w:r w:rsidRPr="00121F51">
              <w:rPr>
                <w:rFonts w:ascii="Times New Roman" w:hAnsi="Times New Roman"/>
                <w:sz w:val="20"/>
                <w:szCs w:val="20"/>
                <w:lang w:val="ro-RO"/>
              </w:rPr>
              <w:t>21177,8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20017,6</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20278,4</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7,1</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-899,4</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94,5</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-1160,2</w:t>
            </w:r>
          </w:p>
        </w:tc>
      </w:tr>
      <w:tr w:rsidR="00F24302" w:rsidRPr="00121F51" w:rsidTr="006B6AE0">
        <w:trPr>
          <w:trHeight w:val="258"/>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2</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Apărarea na</w:t>
            </w:r>
            <w:r w:rsidRPr="0030397B">
              <w:rPr>
                <w:rFonts w:ascii="Times New Roman" w:hAnsi="Times New Roman"/>
                <w:sz w:val="20"/>
                <w:szCs w:val="20"/>
                <w:lang w:val="ro-RO"/>
              </w:rPr>
              <w:t>ț</w:t>
            </w:r>
            <w:r w:rsidRPr="009264F0">
              <w:rPr>
                <w:rFonts w:ascii="Times New Roman" w:hAnsi="Times New Roman"/>
                <w:sz w:val="20"/>
                <w:szCs w:val="20"/>
                <w:lang w:val="ro-RO"/>
              </w:rPr>
              <w:t>ională</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114,6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114,6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76,2</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106,9</w:t>
            </w:r>
          </w:p>
        </w:tc>
        <w:tc>
          <w:tcPr>
            <w:tcW w:w="1240"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-7,7</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66,5</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-38,4</w:t>
            </w:r>
          </w:p>
        </w:tc>
      </w:tr>
      <w:tr w:rsidR="00F24302" w:rsidRPr="00121F51" w:rsidTr="006B6AE0">
        <w:trPr>
          <w:trHeight w:val="265"/>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3</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Men</w:t>
            </w:r>
            <w:r w:rsidRPr="0030397B">
              <w:rPr>
                <w:rFonts w:ascii="Times New Roman" w:hAnsi="Times New Roman"/>
                <w:sz w:val="20"/>
                <w:szCs w:val="20"/>
                <w:lang w:val="ro-RO"/>
              </w:rPr>
              <w:t>ț</w:t>
            </w:r>
            <w:r w:rsidRPr="009264F0">
              <w:rPr>
                <w:rFonts w:ascii="Times New Roman" w:hAnsi="Times New Roman"/>
                <w:sz w:val="20"/>
                <w:szCs w:val="20"/>
                <w:lang w:val="ro-RO"/>
              </w:rPr>
              <w:t xml:space="preserve">inerea ordinii publice </w:t>
            </w:r>
            <w:r w:rsidRPr="0030397B">
              <w:rPr>
                <w:rFonts w:ascii="Times New Roman" w:hAnsi="Times New Roman"/>
                <w:sz w:val="20"/>
                <w:szCs w:val="20"/>
                <w:lang w:val="ro-RO"/>
              </w:rPr>
              <w:t>ș</w:t>
            </w:r>
            <w:r w:rsidRPr="009264F0">
              <w:rPr>
                <w:rFonts w:ascii="Times New Roman" w:hAnsi="Times New Roman"/>
                <w:sz w:val="20"/>
                <w:szCs w:val="20"/>
                <w:lang w:val="ro-RO"/>
              </w:rPr>
              <w:t>i securitatea na</w:t>
            </w:r>
            <w:r w:rsidRPr="0030397B">
              <w:rPr>
                <w:rFonts w:ascii="Times New Roman" w:hAnsi="Times New Roman"/>
                <w:sz w:val="20"/>
                <w:szCs w:val="20"/>
                <w:lang w:val="ro-RO"/>
              </w:rPr>
              <w:t>ț</w:t>
            </w:r>
            <w:r w:rsidRPr="009264F0">
              <w:rPr>
                <w:rFonts w:ascii="Times New Roman" w:hAnsi="Times New Roman"/>
                <w:sz w:val="20"/>
                <w:szCs w:val="20"/>
                <w:lang w:val="ro-RO"/>
              </w:rPr>
              <w:t>ională</w:t>
            </w:r>
          </w:p>
        </w:tc>
        <w:tc>
          <w:tcPr>
            <w:tcW w:w="1240"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860,4</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860,4</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837,7</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0,3</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-22,7</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100</w:t>
            </w:r>
          </w:p>
        </w:tc>
        <w:tc>
          <w:tcPr>
            <w:tcW w:w="1241"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r>
      <w:tr w:rsidR="00F24302" w:rsidRPr="00121F51" w:rsidTr="006B6AE0">
        <w:trPr>
          <w:trHeight w:val="217"/>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 </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bCs/>
                <w:sz w:val="20"/>
                <w:szCs w:val="20"/>
                <w:lang w:val="ro-RO"/>
              </w:rPr>
            </w:pPr>
            <w:r w:rsidRPr="009264F0">
              <w:rPr>
                <w:rFonts w:ascii="Times New Roman" w:hAnsi="Times New Roman"/>
                <w:bCs/>
                <w:sz w:val="20"/>
                <w:szCs w:val="20"/>
                <w:lang w:val="ro-RO"/>
              </w:rPr>
              <w:t xml:space="preserve">Cheltuielile domeniului social-cultural, </w:t>
            </w:r>
            <w:r w:rsidRPr="009264F0">
              <w:rPr>
                <w:rFonts w:ascii="Times New Roman" w:hAnsi="Times New Roman"/>
                <w:sz w:val="20"/>
                <w:szCs w:val="20"/>
                <w:lang w:val="ro-RO"/>
              </w:rPr>
              <w:t>din care:</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201316,8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209156,7</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192774,3</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189147,6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66,4</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-20009,1</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92,2</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-16382,4</w:t>
            </w:r>
          </w:p>
        </w:tc>
      </w:tr>
      <w:tr w:rsidR="00F24302" w:rsidRPr="00121F51" w:rsidTr="006B6AE0">
        <w:trPr>
          <w:trHeight w:val="300"/>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4</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Învă</w:t>
            </w:r>
            <w:r w:rsidRPr="0030397B">
              <w:rPr>
                <w:rFonts w:ascii="Times New Roman" w:hAnsi="Times New Roman"/>
                <w:sz w:val="20"/>
                <w:szCs w:val="20"/>
                <w:lang w:val="ro-RO"/>
              </w:rPr>
              <w:t>ț</w:t>
            </w:r>
            <w:r w:rsidRPr="009264F0">
              <w:rPr>
                <w:rFonts w:ascii="Times New Roman" w:hAnsi="Times New Roman"/>
                <w:sz w:val="20"/>
                <w:szCs w:val="20"/>
                <w:lang w:val="ro-RO"/>
              </w:rPr>
              <w:t>ăm</w:t>
            </w:r>
            <w:r>
              <w:rPr>
                <w:rFonts w:ascii="Times New Roman" w:hAnsi="Times New Roman"/>
                <w:sz w:val="20"/>
                <w:szCs w:val="20"/>
                <w:lang w:val="ro-RO"/>
              </w:rPr>
              <w:t>î</w:t>
            </w:r>
            <w:r w:rsidRPr="009264F0">
              <w:rPr>
                <w:rFonts w:ascii="Times New Roman" w:hAnsi="Times New Roman"/>
                <w:sz w:val="20"/>
                <w:szCs w:val="20"/>
                <w:lang w:val="ro-RO"/>
              </w:rPr>
              <w:t>ntul</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166286,1</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169645,6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156414,8</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153421,5</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53,8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-16224,1</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92,2</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-13230,8</w:t>
            </w:r>
          </w:p>
        </w:tc>
      </w:tr>
      <w:tr w:rsidR="00F24302" w:rsidRPr="00121F51" w:rsidTr="006B6AE0">
        <w:trPr>
          <w:trHeight w:val="286"/>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5</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 xml:space="preserve">Cultura, arta, sportul  </w:t>
            </w:r>
            <w:r w:rsidRPr="0030397B">
              <w:rPr>
                <w:rFonts w:ascii="Times New Roman" w:hAnsi="Times New Roman"/>
                <w:sz w:val="20"/>
                <w:szCs w:val="20"/>
                <w:lang w:val="ro-RO"/>
              </w:rPr>
              <w:t>ș</w:t>
            </w:r>
            <w:r w:rsidRPr="009264F0">
              <w:rPr>
                <w:rFonts w:ascii="Times New Roman" w:hAnsi="Times New Roman"/>
                <w:sz w:val="20"/>
                <w:szCs w:val="20"/>
                <w:lang w:val="ro-RO"/>
              </w:rPr>
              <w:t>i activită</w:t>
            </w:r>
            <w:r w:rsidRPr="0030397B">
              <w:rPr>
                <w:rFonts w:ascii="Times New Roman" w:hAnsi="Times New Roman"/>
                <w:sz w:val="20"/>
                <w:szCs w:val="20"/>
                <w:lang w:val="ro-RO"/>
              </w:rPr>
              <w:t>ț</w:t>
            </w:r>
            <w:r w:rsidRPr="009264F0">
              <w:rPr>
                <w:rFonts w:ascii="Times New Roman" w:hAnsi="Times New Roman"/>
                <w:sz w:val="20"/>
                <w:szCs w:val="20"/>
                <w:lang w:val="ro-RO"/>
              </w:rPr>
              <w:t>ile pentru tineret</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14644,4</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16701,7</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15452,9</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14896,1</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5,2</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-1805,6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92,5</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-1248,8</w:t>
            </w:r>
          </w:p>
        </w:tc>
      </w:tr>
      <w:tr w:rsidR="00F24302" w:rsidRPr="00121F51" w:rsidTr="006B6AE0">
        <w:trPr>
          <w:trHeight w:val="300"/>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6</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Ocrotirea sănătă</w:t>
            </w:r>
            <w:r w:rsidRPr="0030397B">
              <w:rPr>
                <w:rFonts w:ascii="Times New Roman" w:hAnsi="Times New Roman"/>
                <w:sz w:val="20"/>
                <w:szCs w:val="20"/>
                <w:lang w:val="ro-RO"/>
              </w:rPr>
              <w:t>ț</w:t>
            </w:r>
            <w:r w:rsidRPr="009264F0">
              <w:rPr>
                <w:rFonts w:ascii="Times New Roman" w:hAnsi="Times New Roman"/>
                <w:sz w:val="20"/>
                <w:szCs w:val="20"/>
                <w:lang w:val="ro-RO"/>
              </w:rPr>
              <w:t>ii</w:t>
            </w:r>
          </w:p>
        </w:tc>
        <w:tc>
          <w:tcPr>
            <w:tcW w:w="1240"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799,2</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799,2</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799,2</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0,3</w:t>
            </w:r>
          </w:p>
        </w:tc>
        <w:tc>
          <w:tcPr>
            <w:tcW w:w="1240"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100</w:t>
            </w:r>
          </w:p>
        </w:tc>
        <w:tc>
          <w:tcPr>
            <w:tcW w:w="1241"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r>
      <w:tr w:rsidR="00F24302" w:rsidRPr="00121F51" w:rsidTr="006B6AE0">
        <w:trPr>
          <w:trHeight w:val="214"/>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7</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 xml:space="preserve">Asigurarea </w:t>
            </w:r>
            <w:r w:rsidRPr="0030397B">
              <w:rPr>
                <w:rFonts w:ascii="Times New Roman" w:hAnsi="Times New Roman"/>
                <w:sz w:val="20"/>
                <w:szCs w:val="20"/>
                <w:lang w:val="ro-RO"/>
              </w:rPr>
              <w:t>ș</w:t>
            </w:r>
            <w:r w:rsidRPr="009264F0">
              <w:rPr>
                <w:rFonts w:ascii="Times New Roman" w:hAnsi="Times New Roman"/>
                <w:sz w:val="20"/>
                <w:szCs w:val="20"/>
                <w:lang w:val="ro-RO"/>
              </w:rPr>
              <w:t>i</w:t>
            </w:r>
            <w:r>
              <w:rPr>
                <w:rFonts w:ascii="Times New Roman" w:hAnsi="Times New Roman"/>
                <w:sz w:val="20"/>
                <w:szCs w:val="20"/>
                <w:lang w:val="ro-RO"/>
              </w:rPr>
              <w:t xml:space="preserve"> </w:t>
            </w:r>
            <w:r w:rsidRPr="009264F0">
              <w:rPr>
                <w:rFonts w:ascii="Times New Roman" w:hAnsi="Times New Roman"/>
                <w:sz w:val="20"/>
                <w:szCs w:val="20"/>
                <w:lang w:val="ro-RO"/>
              </w:rPr>
              <w:t>asisten</w:t>
            </w:r>
            <w:r w:rsidRPr="0030397B">
              <w:rPr>
                <w:rFonts w:ascii="Times New Roman" w:hAnsi="Times New Roman"/>
                <w:sz w:val="20"/>
                <w:szCs w:val="20"/>
                <w:lang w:val="ro-RO"/>
              </w:rPr>
              <w:t>ț</w:t>
            </w:r>
            <w:r w:rsidRPr="009264F0">
              <w:rPr>
                <w:rFonts w:ascii="Times New Roman" w:hAnsi="Times New Roman"/>
                <w:sz w:val="20"/>
                <w:szCs w:val="20"/>
                <w:lang w:val="ro-RO"/>
              </w:rPr>
              <w:t>a socială</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20386,3</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22010,2</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20107,4</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20030,8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7,0</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-1979,4</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91,4</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-1902,8</w:t>
            </w:r>
          </w:p>
        </w:tc>
      </w:tr>
      <w:tr w:rsidR="00F24302" w:rsidRPr="00121F51" w:rsidTr="006B6AE0">
        <w:trPr>
          <w:trHeight w:val="303"/>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 </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bCs/>
                <w:sz w:val="20"/>
                <w:szCs w:val="20"/>
                <w:lang w:val="ro-RO"/>
              </w:rPr>
            </w:pPr>
            <w:r w:rsidRPr="009264F0">
              <w:rPr>
                <w:rFonts w:ascii="Times New Roman" w:hAnsi="Times New Roman"/>
                <w:bCs/>
                <w:sz w:val="20"/>
                <w:szCs w:val="20"/>
                <w:lang w:val="ro-RO"/>
              </w:rPr>
              <w:t>Cheltuielile domeniului economic, din care:</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21928,5</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81203,3</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71510,2</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74703,5</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26,2</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-6499,8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88,1</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-9693,1</w:t>
            </w:r>
          </w:p>
        </w:tc>
      </w:tr>
      <w:tr w:rsidR="00F24302" w:rsidRPr="00121F51" w:rsidTr="006B6AE0">
        <w:trPr>
          <w:trHeight w:val="407"/>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8</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 xml:space="preserve">Agricultura, gospodăria silvică, gospodăria piscicolă </w:t>
            </w:r>
            <w:r w:rsidRPr="0030397B">
              <w:rPr>
                <w:rFonts w:ascii="Times New Roman" w:hAnsi="Times New Roman"/>
                <w:sz w:val="20"/>
                <w:szCs w:val="20"/>
                <w:lang w:val="ro-RO"/>
              </w:rPr>
              <w:t>ș</w:t>
            </w:r>
            <w:r w:rsidRPr="009264F0">
              <w:rPr>
                <w:rFonts w:ascii="Times New Roman" w:hAnsi="Times New Roman"/>
                <w:sz w:val="20"/>
                <w:szCs w:val="20"/>
                <w:lang w:val="ro-RO"/>
              </w:rPr>
              <w:t>i gospodăria apelor</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434,1</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19208,8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16409,8</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24129,6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8,5</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4920,8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85,4</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-2799,0</w:t>
            </w:r>
          </w:p>
        </w:tc>
      </w:tr>
      <w:tr w:rsidR="00F24302" w:rsidRPr="00121F51" w:rsidTr="006B6AE0">
        <w:trPr>
          <w:trHeight w:val="277"/>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9</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Protec</w:t>
            </w:r>
            <w:r w:rsidRPr="0030397B">
              <w:rPr>
                <w:rFonts w:ascii="Times New Roman" w:hAnsi="Times New Roman"/>
                <w:sz w:val="20"/>
                <w:szCs w:val="20"/>
                <w:lang w:val="ro-RO"/>
              </w:rPr>
              <w:t>ț</w:t>
            </w:r>
            <w:r w:rsidRPr="009264F0">
              <w:rPr>
                <w:rFonts w:ascii="Times New Roman" w:hAnsi="Times New Roman"/>
                <w:sz w:val="20"/>
                <w:szCs w:val="20"/>
                <w:lang w:val="ro-RO"/>
              </w:rPr>
              <w:t xml:space="preserve">ia mediului </w:t>
            </w:r>
            <w:r w:rsidRPr="0030397B">
              <w:rPr>
                <w:rFonts w:ascii="Times New Roman" w:hAnsi="Times New Roman"/>
                <w:sz w:val="20"/>
                <w:szCs w:val="20"/>
                <w:lang w:val="ro-RO"/>
              </w:rPr>
              <w:t>ș</w:t>
            </w:r>
            <w:r w:rsidRPr="009264F0">
              <w:rPr>
                <w:rFonts w:ascii="Times New Roman" w:hAnsi="Times New Roman"/>
                <w:sz w:val="20"/>
                <w:szCs w:val="20"/>
                <w:lang w:val="ro-RO"/>
              </w:rPr>
              <w:t>i hidrometeorologia</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221,4</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20345,8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19961,6</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18005,1</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6,3</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-2340,7</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98,1</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-384,2</w:t>
            </w:r>
          </w:p>
        </w:tc>
      </w:tr>
      <w:tr w:rsidR="00F24302" w:rsidRPr="00121F51" w:rsidTr="006B6AE0">
        <w:trPr>
          <w:trHeight w:val="300"/>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10</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 xml:space="preserve">Industria </w:t>
            </w:r>
            <w:r w:rsidRPr="0030397B">
              <w:rPr>
                <w:rFonts w:ascii="Times New Roman" w:hAnsi="Times New Roman"/>
                <w:sz w:val="20"/>
                <w:szCs w:val="20"/>
                <w:lang w:val="ro-RO"/>
              </w:rPr>
              <w:t>ș</w:t>
            </w:r>
            <w:r w:rsidRPr="009264F0">
              <w:rPr>
                <w:rFonts w:ascii="Times New Roman" w:hAnsi="Times New Roman"/>
                <w:sz w:val="20"/>
                <w:szCs w:val="20"/>
                <w:lang w:val="ro-RO"/>
              </w:rPr>
              <w:t>i construc</w:t>
            </w:r>
            <w:r w:rsidRPr="0030397B">
              <w:rPr>
                <w:rFonts w:ascii="Times New Roman" w:hAnsi="Times New Roman"/>
                <w:sz w:val="20"/>
                <w:szCs w:val="20"/>
                <w:lang w:val="ro-RO"/>
              </w:rPr>
              <w:t>ț</w:t>
            </w:r>
            <w:r w:rsidRPr="009264F0">
              <w:rPr>
                <w:rFonts w:ascii="Times New Roman" w:hAnsi="Times New Roman"/>
                <w:sz w:val="20"/>
                <w:szCs w:val="20"/>
                <w:lang w:val="ro-RO"/>
              </w:rPr>
              <w:t>iile</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386,2</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394,8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390,8</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393,9</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0,1</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-0,9</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99,0</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-4,0</w:t>
            </w:r>
          </w:p>
        </w:tc>
      </w:tr>
      <w:tr w:rsidR="00F24302" w:rsidRPr="00121F51" w:rsidTr="006B6AE0">
        <w:trPr>
          <w:trHeight w:val="489"/>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11</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Transporturile, gospodăria drumurilor, comunica</w:t>
            </w:r>
            <w:r>
              <w:rPr>
                <w:rFonts w:ascii="Times New Roman" w:hAnsi="Times New Roman"/>
                <w:sz w:val="20"/>
                <w:szCs w:val="20"/>
                <w:lang w:val="ro-RO"/>
              </w:rPr>
              <w:t>ț</w:t>
            </w:r>
            <w:r w:rsidRPr="009264F0">
              <w:rPr>
                <w:rFonts w:ascii="Times New Roman" w:hAnsi="Times New Roman"/>
                <w:sz w:val="20"/>
                <w:szCs w:val="20"/>
                <w:lang w:val="ro-RO"/>
              </w:rPr>
              <w:t>iile</w:t>
            </w:r>
            <w:r>
              <w:rPr>
                <w:rFonts w:ascii="Times New Roman" w:hAnsi="Times New Roman"/>
                <w:sz w:val="20"/>
                <w:szCs w:val="20"/>
                <w:lang w:val="ro-RO"/>
              </w:rPr>
              <w:t xml:space="preserve"> </w:t>
            </w:r>
            <w:r w:rsidRPr="0030397B">
              <w:rPr>
                <w:rFonts w:ascii="Times New Roman" w:hAnsi="Times New Roman"/>
                <w:sz w:val="20"/>
                <w:szCs w:val="20"/>
                <w:lang w:val="ro-RO"/>
              </w:rPr>
              <w:t>ș</w:t>
            </w:r>
            <w:r w:rsidRPr="009264F0">
              <w:rPr>
                <w:rFonts w:ascii="Times New Roman" w:hAnsi="Times New Roman"/>
                <w:sz w:val="20"/>
                <w:szCs w:val="20"/>
                <w:lang w:val="ro-RO"/>
              </w:rPr>
              <w:t>i informatica</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4750,0</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16964,5</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13982,8</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11884,2</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4,2</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-5080,3</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82,4</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-2981,7</w:t>
            </w:r>
          </w:p>
        </w:tc>
      </w:tr>
      <w:tr w:rsidR="00F24302" w:rsidRPr="00121F51" w:rsidTr="006B6AE0">
        <w:trPr>
          <w:trHeight w:val="425"/>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12</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 xml:space="preserve">Gospodăria comunală </w:t>
            </w:r>
            <w:r w:rsidRPr="0030397B">
              <w:rPr>
                <w:rFonts w:ascii="Times New Roman" w:hAnsi="Times New Roman"/>
                <w:sz w:val="20"/>
                <w:szCs w:val="20"/>
                <w:lang w:val="ro-RO"/>
              </w:rPr>
              <w:t>ș</w:t>
            </w:r>
            <w:r w:rsidRPr="009264F0">
              <w:rPr>
                <w:rFonts w:ascii="Times New Roman" w:hAnsi="Times New Roman"/>
                <w:sz w:val="20"/>
                <w:szCs w:val="20"/>
                <w:lang w:val="ro-RO"/>
              </w:rPr>
              <w:t>i gospodăria de exploatare a fondului de locuin</w:t>
            </w:r>
            <w:r w:rsidRPr="0030397B">
              <w:rPr>
                <w:rFonts w:ascii="Times New Roman" w:hAnsi="Times New Roman"/>
                <w:sz w:val="20"/>
                <w:szCs w:val="20"/>
                <w:lang w:val="ro-RO"/>
              </w:rPr>
              <w:t>ț</w:t>
            </w:r>
            <w:r w:rsidRPr="009264F0">
              <w:rPr>
                <w:rFonts w:ascii="Times New Roman" w:hAnsi="Times New Roman"/>
                <w:sz w:val="20"/>
                <w:szCs w:val="20"/>
                <w:lang w:val="ro-RO"/>
              </w:rPr>
              <w:t>e</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6771,6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14318,8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13269,2</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12754,4</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4,5</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-1564,4</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92,7</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-1049,6</w:t>
            </w:r>
          </w:p>
        </w:tc>
      </w:tr>
      <w:tr w:rsidR="00F24302" w:rsidRPr="00121F51" w:rsidTr="006B6AE0">
        <w:trPr>
          <w:trHeight w:val="206"/>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13</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 xml:space="preserve">Complexul pentru combustibil </w:t>
            </w:r>
            <w:r>
              <w:rPr>
                <w:rFonts w:ascii="Times New Roman" w:hAnsi="Times New Roman"/>
                <w:sz w:val="20"/>
                <w:szCs w:val="20"/>
                <w:lang w:val="ro-RO"/>
              </w:rPr>
              <w:t>ș</w:t>
            </w:r>
            <w:r w:rsidRPr="009264F0">
              <w:rPr>
                <w:rFonts w:ascii="Times New Roman" w:hAnsi="Times New Roman"/>
                <w:sz w:val="20"/>
                <w:szCs w:val="20"/>
                <w:lang w:val="ro-RO"/>
              </w:rPr>
              <w:t>i energie</w:t>
            </w:r>
          </w:p>
        </w:tc>
        <w:tc>
          <w:tcPr>
            <w:tcW w:w="1240"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1063,1</w:t>
            </w:r>
          </w:p>
        </w:tc>
        <w:tc>
          <w:tcPr>
            <w:tcW w:w="1240"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c>
          <w:tcPr>
            <w:tcW w:w="1241"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c>
          <w:tcPr>
            <w:tcW w:w="1240"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-1063,1</w:t>
            </w:r>
          </w:p>
        </w:tc>
        <w:tc>
          <w:tcPr>
            <w:tcW w:w="1240"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-1063,1</w:t>
            </w:r>
          </w:p>
        </w:tc>
      </w:tr>
      <w:tr w:rsidR="00F24302" w:rsidRPr="00121F51" w:rsidTr="006B6AE0">
        <w:trPr>
          <w:trHeight w:val="300"/>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14</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Alte servicii legate de activitatea economică</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162,6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259,9</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257,3</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259,1</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0,1</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-0,8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99,0</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-2,6</w:t>
            </w:r>
          </w:p>
        </w:tc>
      </w:tr>
      <w:tr w:rsidR="00F24302" w:rsidRPr="00121F51" w:rsidTr="006B6AE0">
        <w:trPr>
          <w:trHeight w:val="265"/>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sz w:val="20"/>
                <w:szCs w:val="20"/>
                <w:lang w:val="ro-RO"/>
              </w:rPr>
            </w:pPr>
            <w:r w:rsidRPr="00121F51">
              <w:rPr>
                <w:rFonts w:ascii="Times New Roman" w:hAnsi="Times New Roman"/>
                <w:sz w:val="20"/>
                <w:szCs w:val="20"/>
                <w:lang w:val="ro-RO"/>
              </w:rPr>
              <w:t>15</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sz w:val="20"/>
                <w:szCs w:val="20"/>
                <w:lang w:val="ro-RO"/>
              </w:rPr>
            </w:pPr>
            <w:r w:rsidRPr="009264F0">
              <w:rPr>
                <w:rFonts w:ascii="Times New Roman" w:hAnsi="Times New Roman"/>
                <w:sz w:val="20"/>
                <w:szCs w:val="20"/>
                <w:lang w:val="ro-RO"/>
              </w:rPr>
              <w:t>Activită</w:t>
            </w:r>
            <w:r w:rsidRPr="0030397B">
              <w:rPr>
                <w:rFonts w:ascii="Times New Roman" w:hAnsi="Times New Roman"/>
                <w:sz w:val="20"/>
                <w:szCs w:val="20"/>
                <w:lang w:val="ro-RO"/>
              </w:rPr>
              <w:t>ț</w:t>
            </w:r>
            <w:r w:rsidRPr="009264F0">
              <w:rPr>
                <w:rFonts w:ascii="Times New Roman" w:hAnsi="Times New Roman"/>
                <w:sz w:val="20"/>
                <w:szCs w:val="20"/>
                <w:lang w:val="ro-RO"/>
              </w:rPr>
              <w:t xml:space="preserve">ile </w:t>
            </w:r>
            <w:r w:rsidRPr="0030397B">
              <w:rPr>
                <w:rFonts w:ascii="Times New Roman" w:hAnsi="Times New Roman"/>
                <w:sz w:val="20"/>
                <w:szCs w:val="20"/>
                <w:lang w:val="ro-RO"/>
              </w:rPr>
              <w:t>ș</w:t>
            </w:r>
            <w:r w:rsidRPr="009264F0">
              <w:rPr>
                <w:rFonts w:ascii="Times New Roman" w:hAnsi="Times New Roman"/>
                <w:sz w:val="20"/>
                <w:szCs w:val="20"/>
                <w:lang w:val="ro-RO"/>
              </w:rPr>
              <w:t>i serviciile neatribuite la alte grupe principale</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9202,6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8660,8</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7276,9</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7277,2</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-1383,6</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84,0</w:t>
            </w: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-1383,9</w:t>
            </w:r>
          </w:p>
        </w:tc>
      </w:tr>
      <w:tr w:rsidR="00F24302" w:rsidRPr="00121F51" w:rsidTr="006B6AE0">
        <w:trPr>
          <w:trHeight w:val="315"/>
        </w:trPr>
        <w:tc>
          <w:tcPr>
            <w:tcW w:w="535"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rPr>
                <w:rFonts w:ascii="Times New Roman" w:hAnsi="Times New Roman"/>
                <w:bCs/>
                <w:sz w:val="20"/>
                <w:szCs w:val="20"/>
                <w:lang w:val="ro-RO"/>
              </w:rPr>
            </w:pPr>
            <w:r w:rsidRPr="00121F51">
              <w:rPr>
                <w:rFonts w:ascii="Times New Roman" w:hAnsi="Times New Roman"/>
                <w:bCs/>
                <w:sz w:val="20"/>
                <w:szCs w:val="20"/>
                <w:lang w:val="ro-RO"/>
              </w:rPr>
              <w:t>16</w:t>
            </w:r>
          </w:p>
        </w:tc>
        <w:tc>
          <w:tcPr>
            <w:tcW w:w="4960" w:type="dxa"/>
            <w:tcBorders>
              <w:top w:val="single" w:sz="4" w:space="0" w:color="auto"/>
              <w:left w:val="single" w:sz="4" w:space="0" w:color="auto"/>
              <w:bottom w:val="single" w:sz="4" w:space="0" w:color="auto"/>
              <w:right w:val="single" w:sz="4" w:space="0" w:color="auto"/>
            </w:tcBorders>
            <w:hideMark/>
          </w:tcPr>
          <w:p w:rsidR="00F24302" w:rsidRPr="009264F0" w:rsidRDefault="00F24302" w:rsidP="006B6AE0">
            <w:pPr>
              <w:spacing w:after="0" w:line="240" w:lineRule="auto"/>
              <w:rPr>
                <w:rFonts w:ascii="Times New Roman" w:hAnsi="Times New Roman"/>
                <w:bCs/>
                <w:sz w:val="20"/>
                <w:szCs w:val="20"/>
                <w:lang w:val="ro-RO"/>
              </w:rPr>
            </w:pPr>
            <w:r w:rsidRPr="009264F0">
              <w:rPr>
                <w:rFonts w:ascii="Times New Roman" w:hAnsi="Times New Roman"/>
                <w:bCs/>
                <w:sz w:val="20"/>
                <w:szCs w:val="20"/>
                <w:lang w:val="ro-RO"/>
              </w:rPr>
              <w:t>Creditarea netă</w:t>
            </w:r>
          </w:p>
        </w:tc>
        <w:tc>
          <w:tcPr>
            <w:tcW w:w="1240"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bCs/>
                <w:sz w:val="20"/>
                <w:szCs w:val="20"/>
                <w:lang w:val="ro-RO"/>
              </w:rPr>
            </w:pP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-13,2</w:t>
            </w: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-38,2</w:t>
            </w:r>
          </w:p>
        </w:tc>
        <w:tc>
          <w:tcPr>
            <w:tcW w:w="1241"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bCs/>
                <w:sz w:val="20"/>
                <w:szCs w:val="20"/>
                <w:lang w:val="ro-RO"/>
              </w:rPr>
            </w:pPr>
          </w:p>
        </w:tc>
        <w:tc>
          <w:tcPr>
            <w:tcW w:w="1240"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bCs/>
                <w:sz w:val="20"/>
                <w:szCs w:val="20"/>
                <w:lang w:val="ro-RO"/>
              </w:rPr>
            </w:pPr>
          </w:p>
        </w:tc>
        <w:tc>
          <w:tcPr>
            <w:tcW w:w="1240"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bCs/>
                <w:sz w:val="20"/>
                <w:szCs w:val="20"/>
                <w:lang w:val="ro-RO"/>
              </w:rPr>
            </w:pPr>
            <w:r w:rsidRPr="00121F51">
              <w:rPr>
                <w:rFonts w:ascii="Times New Roman" w:hAnsi="Times New Roman"/>
                <w:bCs/>
                <w:sz w:val="20"/>
                <w:szCs w:val="20"/>
                <w:lang w:val="ro-RO"/>
              </w:rPr>
              <w:t>13,2</w:t>
            </w:r>
          </w:p>
        </w:tc>
        <w:tc>
          <w:tcPr>
            <w:tcW w:w="1240" w:type="dxa"/>
            <w:tcBorders>
              <w:top w:val="single" w:sz="4" w:space="0" w:color="auto"/>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hAnsi="Times New Roman"/>
                <w:sz w:val="20"/>
                <w:szCs w:val="20"/>
                <w:lang w:val="ro-RO"/>
              </w:rPr>
            </w:pPr>
          </w:p>
        </w:tc>
        <w:tc>
          <w:tcPr>
            <w:tcW w:w="1241" w:type="dxa"/>
            <w:tcBorders>
              <w:top w:val="single" w:sz="4" w:space="0" w:color="auto"/>
              <w:left w:val="single" w:sz="4" w:space="0" w:color="auto"/>
              <w:bottom w:val="single" w:sz="4" w:space="0" w:color="auto"/>
              <w:right w:val="single" w:sz="4" w:space="0" w:color="auto"/>
            </w:tcBorders>
            <w:hideMark/>
          </w:tcPr>
          <w:p w:rsidR="00F24302" w:rsidRPr="00121F51" w:rsidRDefault="00F24302" w:rsidP="006B6AE0">
            <w:pPr>
              <w:spacing w:after="0" w:line="240" w:lineRule="auto"/>
              <w:jc w:val="center"/>
              <w:rPr>
                <w:rFonts w:ascii="Times New Roman" w:hAnsi="Times New Roman"/>
                <w:sz w:val="20"/>
                <w:szCs w:val="20"/>
                <w:lang w:val="ro-RO"/>
              </w:rPr>
            </w:pPr>
            <w:r w:rsidRPr="00121F51">
              <w:rPr>
                <w:rFonts w:ascii="Times New Roman" w:hAnsi="Times New Roman"/>
                <w:sz w:val="20"/>
                <w:szCs w:val="20"/>
                <w:lang w:val="ro-RO"/>
              </w:rPr>
              <w:t>-25,0</w:t>
            </w:r>
          </w:p>
        </w:tc>
      </w:tr>
    </w:tbl>
    <w:p w:rsidR="00F24302" w:rsidRPr="00121F51" w:rsidRDefault="00F24302" w:rsidP="00F24302">
      <w:pPr>
        <w:spacing w:after="0" w:line="240" w:lineRule="auto"/>
        <w:rPr>
          <w:rFonts w:ascii="Times New Roman" w:hAnsi="Times New Roman"/>
          <w:i/>
          <w:sz w:val="20"/>
          <w:szCs w:val="20"/>
          <w:lang w:val="ro-RO"/>
        </w:rPr>
        <w:sectPr w:rsidR="00F24302" w:rsidRPr="00121F51" w:rsidSect="00CB59F0">
          <w:pgSz w:w="16838" w:h="11906" w:orient="landscape"/>
          <w:pgMar w:top="1134" w:right="1134" w:bottom="851" w:left="1134" w:header="709" w:footer="709" w:gutter="0"/>
          <w:cols w:space="708"/>
          <w:docGrid w:linePitch="360"/>
        </w:sectPr>
      </w:pPr>
      <w:r w:rsidRPr="00121F51">
        <w:rPr>
          <w:rFonts w:ascii="Times New Roman" w:hAnsi="Times New Roman"/>
          <w:b/>
          <w:i/>
          <w:sz w:val="20"/>
          <w:szCs w:val="20"/>
          <w:lang w:val="ro-RO"/>
        </w:rPr>
        <w:t xml:space="preserve">Sursă: </w:t>
      </w:r>
      <w:r w:rsidRPr="00121F51">
        <w:rPr>
          <w:rFonts w:ascii="Times New Roman" w:hAnsi="Times New Roman"/>
          <w:i/>
          <w:sz w:val="20"/>
          <w:szCs w:val="20"/>
          <w:lang w:val="ro-RO"/>
        </w:rPr>
        <w:t>Rapoartele privind executarea bugetelor UAT la cheltuieli pe anul 2015</w:t>
      </w:r>
      <w:r>
        <w:rPr>
          <w:rFonts w:ascii="Times New Roman" w:hAnsi="Times New Roman"/>
          <w:i/>
          <w:sz w:val="20"/>
          <w:szCs w:val="20"/>
          <w:lang w:val="ro-RO"/>
        </w:rPr>
        <w:t>.</w:t>
      </w:r>
    </w:p>
    <w:p w:rsidR="00F24302" w:rsidRPr="00121F51" w:rsidRDefault="00F24302" w:rsidP="00F24302">
      <w:pPr>
        <w:spacing w:after="120" w:line="240" w:lineRule="auto"/>
        <w:rPr>
          <w:rFonts w:ascii="Times New Roman" w:hAnsi="Times New Roman"/>
          <w:i/>
          <w:sz w:val="20"/>
          <w:szCs w:val="20"/>
          <w:lang w:val="ro-RO"/>
        </w:rPr>
      </w:pPr>
    </w:p>
    <w:p w:rsidR="00F24302" w:rsidRPr="00121F51" w:rsidRDefault="00F24302" w:rsidP="00F24302">
      <w:pPr>
        <w:spacing w:after="0" w:line="240" w:lineRule="auto"/>
        <w:jc w:val="right"/>
        <w:rPr>
          <w:rFonts w:ascii="Times New Roman" w:hAnsi="Times New Roman"/>
          <w:b/>
          <w:sz w:val="24"/>
          <w:szCs w:val="24"/>
          <w:lang w:val="ro-RO"/>
        </w:rPr>
      </w:pPr>
      <w:r w:rsidRPr="00121F51">
        <w:rPr>
          <w:rFonts w:ascii="Times New Roman" w:hAnsi="Times New Roman"/>
          <w:b/>
          <w:sz w:val="24"/>
          <w:szCs w:val="24"/>
          <w:lang w:val="ro-RO"/>
        </w:rPr>
        <w:t>Anexa nr.7</w:t>
      </w:r>
    </w:p>
    <w:p w:rsidR="00F24302" w:rsidRPr="00121F51" w:rsidRDefault="00F24302" w:rsidP="00F24302">
      <w:pPr>
        <w:tabs>
          <w:tab w:val="left" w:pos="567"/>
        </w:tabs>
        <w:spacing w:after="0" w:line="240" w:lineRule="auto"/>
        <w:jc w:val="center"/>
        <w:rPr>
          <w:rFonts w:ascii="Times New Roman" w:hAnsi="Times New Roman"/>
          <w:b/>
          <w:sz w:val="24"/>
          <w:szCs w:val="24"/>
          <w:lang w:val="ro-RO"/>
        </w:rPr>
      </w:pPr>
      <w:r w:rsidRPr="00121F51">
        <w:rPr>
          <w:rFonts w:ascii="Times New Roman" w:hAnsi="Times New Roman"/>
          <w:b/>
          <w:sz w:val="24"/>
          <w:szCs w:val="24"/>
          <w:lang w:val="ro-RO"/>
        </w:rPr>
        <w:t xml:space="preserve">Generalizarea neregulilor constatate la Obiectivul I din Raportul de audit </w:t>
      </w:r>
    </w:p>
    <w:p w:rsidR="00F24302" w:rsidRPr="0030397B" w:rsidRDefault="00F24302" w:rsidP="00F24302">
      <w:pPr>
        <w:spacing w:after="0" w:line="240" w:lineRule="auto"/>
        <w:jc w:val="right"/>
        <w:rPr>
          <w:rFonts w:ascii="Times New Roman" w:hAnsi="Times New Roman"/>
          <w:i/>
          <w:sz w:val="16"/>
          <w:szCs w:val="16"/>
          <w:lang w:val="ro-RO"/>
        </w:rPr>
      </w:pPr>
      <w:r w:rsidRPr="0030397B">
        <w:rPr>
          <w:rFonts w:ascii="Times New Roman" w:hAnsi="Times New Roman"/>
          <w:i/>
          <w:sz w:val="16"/>
          <w:szCs w:val="16"/>
          <w:lang w:val="ro-RO"/>
        </w:rPr>
        <w:t>(mii lei)</w:t>
      </w:r>
    </w:p>
    <w:tbl>
      <w:tblPr>
        <w:tblpPr w:leftFromText="180" w:rightFromText="180" w:vertAnchor="text" w:horzAnchor="page" w:tblpX="833" w:tblpY="109"/>
        <w:tblW w:w="15417" w:type="dxa"/>
        <w:tblLayout w:type="fixed"/>
        <w:tblLook w:val="04A0" w:firstRow="1" w:lastRow="0" w:firstColumn="1" w:lastColumn="0" w:noHBand="0" w:noVBand="1"/>
      </w:tblPr>
      <w:tblGrid>
        <w:gridCol w:w="417"/>
        <w:gridCol w:w="1523"/>
        <w:gridCol w:w="565"/>
        <w:gridCol w:w="567"/>
        <w:gridCol w:w="609"/>
        <w:gridCol w:w="567"/>
        <w:gridCol w:w="615"/>
        <w:gridCol w:w="661"/>
        <w:gridCol w:w="661"/>
        <w:gridCol w:w="614"/>
        <w:gridCol w:w="567"/>
        <w:gridCol w:w="567"/>
        <w:gridCol w:w="610"/>
        <w:gridCol w:w="756"/>
        <w:gridCol w:w="520"/>
        <w:gridCol w:w="567"/>
        <w:gridCol w:w="472"/>
        <w:gridCol w:w="567"/>
        <w:gridCol w:w="567"/>
        <w:gridCol w:w="567"/>
        <w:gridCol w:w="619"/>
        <w:gridCol w:w="567"/>
        <w:gridCol w:w="7"/>
        <w:gridCol w:w="16"/>
        <w:gridCol w:w="425"/>
        <w:gridCol w:w="170"/>
        <w:gridCol w:w="7"/>
        <w:gridCol w:w="560"/>
        <w:gridCol w:w="7"/>
        <w:gridCol w:w="473"/>
        <w:gridCol w:w="7"/>
      </w:tblGrid>
      <w:tr w:rsidR="00F24302" w:rsidRPr="00121F51" w:rsidTr="006B6AE0">
        <w:trPr>
          <w:cantSplit/>
          <w:trHeight w:val="512"/>
        </w:trPr>
        <w:tc>
          <w:tcPr>
            <w:tcW w:w="417" w:type="dxa"/>
            <w:vMerge w:val="restart"/>
            <w:tcBorders>
              <w:top w:val="single" w:sz="4" w:space="0" w:color="auto"/>
              <w:left w:val="single" w:sz="4" w:space="0" w:color="auto"/>
              <w:right w:val="single" w:sz="4" w:space="0" w:color="auto"/>
            </w:tcBorders>
            <w:noWrap/>
            <w:textDirection w:val="btLr"/>
            <w:vAlign w:val="center"/>
            <w:hideMark/>
          </w:tcPr>
          <w:p w:rsidR="00F24302" w:rsidRPr="004B7C9F" w:rsidRDefault="00F24302" w:rsidP="006B6AE0">
            <w:pPr>
              <w:spacing w:after="0" w:line="240" w:lineRule="auto"/>
              <w:ind w:left="113" w:right="113"/>
              <w:jc w:val="center"/>
              <w:rPr>
                <w:rFonts w:ascii="Times New Roman" w:eastAsia="Times New Roman" w:hAnsi="Times New Roman"/>
                <w:b/>
                <w:bCs/>
                <w:color w:val="000000"/>
                <w:sz w:val="12"/>
                <w:szCs w:val="12"/>
                <w:lang w:val="ro-RO"/>
              </w:rPr>
            </w:pPr>
            <w:r w:rsidRPr="004B7C9F">
              <w:rPr>
                <w:rFonts w:ascii="Times New Roman" w:eastAsia="Times New Roman" w:hAnsi="Times New Roman"/>
                <w:b/>
                <w:bCs/>
                <w:color w:val="000000"/>
                <w:sz w:val="12"/>
                <w:szCs w:val="12"/>
                <w:lang w:val="ro-RO"/>
              </w:rPr>
              <w:t>Nr. d/o</w:t>
            </w:r>
          </w:p>
        </w:tc>
        <w:tc>
          <w:tcPr>
            <w:tcW w:w="1523" w:type="dxa"/>
            <w:vMerge w:val="restart"/>
            <w:tcBorders>
              <w:top w:val="single" w:sz="4" w:space="0" w:color="auto"/>
              <w:left w:val="nil"/>
              <w:right w:val="single" w:sz="4" w:space="0" w:color="auto"/>
            </w:tcBorders>
            <w:vAlign w:val="center"/>
          </w:tcPr>
          <w:p w:rsidR="00F24302" w:rsidRPr="004B7C9F" w:rsidRDefault="00F24302" w:rsidP="006B6AE0">
            <w:pPr>
              <w:spacing w:after="0" w:line="240" w:lineRule="auto"/>
              <w:ind w:left="-32"/>
              <w:jc w:val="center"/>
              <w:rPr>
                <w:rFonts w:ascii="Times New Roman" w:eastAsia="Times New Roman" w:hAnsi="Times New Roman"/>
                <w:b/>
                <w:bCs/>
                <w:color w:val="000000"/>
                <w:sz w:val="12"/>
                <w:szCs w:val="12"/>
                <w:lang w:val="ro-RO" w:eastAsia="ru-RU"/>
              </w:rPr>
            </w:pPr>
          </w:p>
          <w:p w:rsidR="00F24302" w:rsidRPr="004B7C9F" w:rsidRDefault="00F24302" w:rsidP="006B6AE0">
            <w:pPr>
              <w:spacing w:after="0" w:line="240" w:lineRule="auto"/>
              <w:ind w:left="-32"/>
              <w:jc w:val="center"/>
              <w:rPr>
                <w:rFonts w:ascii="Times New Roman" w:eastAsia="Times New Roman" w:hAnsi="Times New Roman"/>
                <w:b/>
                <w:bCs/>
                <w:color w:val="000000"/>
                <w:sz w:val="12"/>
                <w:szCs w:val="12"/>
                <w:lang w:val="ro-RO" w:eastAsia="ru-RU"/>
              </w:rPr>
            </w:pPr>
            <w:r w:rsidRPr="004B7C9F">
              <w:rPr>
                <w:rFonts w:ascii="Times New Roman" w:eastAsia="Times New Roman" w:hAnsi="Times New Roman"/>
                <w:b/>
                <w:bCs/>
                <w:color w:val="000000"/>
                <w:sz w:val="12"/>
                <w:szCs w:val="12"/>
                <w:lang w:val="ro-RO" w:eastAsia="ru-RU"/>
              </w:rPr>
              <w:t>AAPL/</w:t>
            </w:r>
          </w:p>
          <w:p w:rsidR="00F24302" w:rsidRPr="004B7C9F" w:rsidRDefault="00F24302" w:rsidP="006B6AE0">
            <w:pPr>
              <w:spacing w:after="0" w:line="240" w:lineRule="auto"/>
              <w:ind w:left="-32"/>
              <w:jc w:val="center"/>
              <w:rPr>
                <w:rFonts w:ascii="Times New Roman" w:eastAsia="Times New Roman" w:hAnsi="Times New Roman"/>
                <w:b/>
                <w:bCs/>
                <w:color w:val="000000"/>
                <w:sz w:val="12"/>
                <w:szCs w:val="12"/>
                <w:lang w:val="ro-RO" w:eastAsia="ru-RU"/>
              </w:rPr>
            </w:pPr>
            <w:r w:rsidRPr="004B7C9F">
              <w:rPr>
                <w:rFonts w:ascii="Times New Roman" w:eastAsia="Times New Roman" w:hAnsi="Times New Roman"/>
                <w:b/>
                <w:bCs/>
                <w:color w:val="000000"/>
                <w:sz w:val="12"/>
                <w:szCs w:val="12"/>
                <w:lang w:val="ro-RO" w:eastAsia="ru-RU"/>
              </w:rPr>
              <w:t>referința</w:t>
            </w:r>
          </w:p>
          <w:p w:rsidR="00F24302" w:rsidRPr="004B7C9F" w:rsidRDefault="00F24302" w:rsidP="006B6AE0">
            <w:pPr>
              <w:spacing w:after="0" w:line="240" w:lineRule="auto"/>
              <w:ind w:left="-32"/>
              <w:jc w:val="center"/>
              <w:rPr>
                <w:rFonts w:ascii="Times New Roman" w:eastAsia="Times New Roman" w:hAnsi="Times New Roman"/>
                <w:b/>
                <w:bCs/>
                <w:color w:val="000000"/>
                <w:sz w:val="12"/>
                <w:szCs w:val="12"/>
                <w:lang w:val="ro-RO" w:eastAsia="ru-RU"/>
              </w:rPr>
            </w:pPr>
          </w:p>
          <w:p w:rsidR="00F24302" w:rsidRPr="004B7C9F" w:rsidRDefault="00F24302" w:rsidP="006B6AE0">
            <w:pPr>
              <w:spacing w:after="0" w:line="240" w:lineRule="auto"/>
              <w:jc w:val="center"/>
              <w:rPr>
                <w:rFonts w:ascii="Times New Roman" w:eastAsia="Times New Roman" w:hAnsi="Times New Roman"/>
                <w:b/>
                <w:bCs/>
                <w:color w:val="000000"/>
                <w:sz w:val="12"/>
                <w:szCs w:val="12"/>
                <w:lang w:val="ro-RO"/>
              </w:rPr>
            </w:pPr>
          </w:p>
        </w:tc>
        <w:tc>
          <w:tcPr>
            <w:tcW w:w="1132" w:type="dxa"/>
            <w:gridSpan w:val="2"/>
            <w:tcBorders>
              <w:top w:val="single" w:sz="4" w:space="0" w:color="auto"/>
              <w:left w:val="nil"/>
              <w:bottom w:val="single" w:sz="4" w:space="0" w:color="auto"/>
              <w:right w:val="single" w:sz="4" w:space="0" w:color="auto"/>
            </w:tcBorders>
            <w:noWrap/>
          </w:tcPr>
          <w:p w:rsidR="00F24302" w:rsidRPr="004B7C9F" w:rsidRDefault="00F24302" w:rsidP="006B6AE0">
            <w:pPr>
              <w:spacing w:after="0" w:line="240" w:lineRule="auto"/>
              <w:jc w:val="center"/>
              <w:rPr>
                <w:rFonts w:ascii="Times New Roman" w:eastAsia="Times New Roman" w:hAnsi="Times New Roman"/>
                <w:b/>
                <w:color w:val="000000"/>
                <w:sz w:val="12"/>
                <w:szCs w:val="12"/>
                <w:lang w:val="ro-RO"/>
              </w:rPr>
            </w:pPr>
            <w:r w:rsidRPr="004B7C9F">
              <w:rPr>
                <w:rFonts w:ascii="Times New Roman" w:hAnsi="Times New Roman"/>
                <w:b/>
                <w:sz w:val="12"/>
                <w:szCs w:val="12"/>
                <w:lang w:val="ro-RO"/>
              </w:rPr>
              <w:t>Acumularea veniturilor la cap.111.01</w:t>
            </w:r>
          </w:p>
        </w:tc>
        <w:tc>
          <w:tcPr>
            <w:tcW w:w="609" w:type="dxa"/>
            <w:vMerge w:val="restart"/>
            <w:tcBorders>
              <w:top w:val="single" w:sz="4" w:space="0" w:color="auto"/>
              <w:left w:val="nil"/>
              <w:right w:val="single" w:sz="4" w:space="0" w:color="auto"/>
            </w:tcBorders>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hAnsi="Times New Roman"/>
                <w:b/>
                <w:sz w:val="12"/>
                <w:szCs w:val="12"/>
                <w:lang w:val="ro-RO"/>
              </w:rPr>
              <w:t>Acumularea veniturilor la cap. 115.44</w:t>
            </w:r>
          </w:p>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hAnsi="Times New Roman"/>
                <w:b/>
                <w:sz w:val="12"/>
                <w:szCs w:val="12"/>
                <w:lang w:val="ro-RO"/>
              </w:rPr>
              <w:t>sub  nivelul planificat</w:t>
            </w:r>
          </w:p>
        </w:tc>
        <w:tc>
          <w:tcPr>
            <w:tcW w:w="1843" w:type="dxa"/>
            <w:gridSpan w:val="3"/>
            <w:tcBorders>
              <w:top w:val="single" w:sz="4" w:space="0" w:color="auto"/>
              <w:left w:val="nil"/>
              <w:bottom w:val="single" w:sz="4" w:space="0" w:color="auto"/>
              <w:right w:val="single" w:sz="4" w:space="0" w:color="auto"/>
            </w:tcBorders>
            <w:noWrap/>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Impozitul pe proprietate</w:t>
            </w:r>
          </w:p>
        </w:tc>
        <w:tc>
          <w:tcPr>
            <w:tcW w:w="8244" w:type="dxa"/>
            <w:gridSpan w:val="16"/>
            <w:tcBorders>
              <w:top w:val="single" w:sz="4" w:space="0" w:color="auto"/>
              <w:left w:val="nil"/>
              <w:bottom w:val="single" w:sz="4" w:space="0" w:color="auto"/>
              <w:right w:val="single" w:sz="4" w:space="0" w:color="auto"/>
            </w:tcBorders>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Venituri nefiscale</w:t>
            </w:r>
          </w:p>
        </w:tc>
        <w:tc>
          <w:tcPr>
            <w:tcW w:w="425" w:type="dxa"/>
            <w:tcBorders>
              <w:top w:val="single" w:sz="4" w:space="0" w:color="auto"/>
              <w:left w:val="nil"/>
              <w:bottom w:val="single" w:sz="4" w:space="0" w:color="auto"/>
              <w:right w:val="nil"/>
            </w:tcBorders>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p>
        </w:tc>
        <w:tc>
          <w:tcPr>
            <w:tcW w:w="1224" w:type="dxa"/>
            <w:gridSpan w:val="6"/>
            <w:tcBorders>
              <w:top w:val="single" w:sz="4" w:space="0" w:color="auto"/>
              <w:left w:val="nil"/>
              <w:bottom w:val="single" w:sz="4" w:space="0" w:color="auto"/>
              <w:right w:val="single" w:sz="4" w:space="0" w:color="auto"/>
            </w:tcBorders>
            <w:vAlign w:val="center"/>
          </w:tcPr>
          <w:p w:rsidR="00F24302" w:rsidRPr="004B7C9F" w:rsidRDefault="00F24302" w:rsidP="006B6AE0">
            <w:pPr>
              <w:spacing w:after="0" w:line="240" w:lineRule="auto"/>
              <w:ind w:left="-490"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Taxele locale</w:t>
            </w:r>
          </w:p>
        </w:tc>
      </w:tr>
      <w:tr w:rsidR="00F24302" w:rsidRPr="003D14BB" w:rsidTr="006B6AE0">
        <w:trPr>
          <w:cantSplit/>
          <w:trHeight w:val="1134"/>
        </w:trPr>
        <w:tc>
          <w:tcPr>
            <w:tcW w:w="417" w:type="dxa"/>
            <w:vMerge/>
            <w:tcBorders>
              <w:left w:val="single" w:sz="4" w:space="0" w:color="auto"/>
              <w:right w:val="single" w:sz="4" w:space="0" w:color="auto"/>
            </w:tcBorders>
            <w:noWrap/>
            <w:textDirection w:val="btLr"/>
          </w:tcPr>
          <w:p w:rsidR="00F24302" w:rsidRPr="004B7C9F" w:rsidRDefault="00F24302" w:rsidP="006B6AE0">
            <w:pPr>
              <w:spacing w:after="0" w:line="240" w:lineRule="auto"/>
              <w:ind w:left="113" w:right="113"/>
              <w:jc w:val="center"/>
              <w:rPr>
                <w:rFonts w:ascii="Times New Roman" w:eastAsia="Times New Roman" w:hAnsi="Times New Roman"/>
                <w:b/>
                <w:bCs/>
                <w:color w:val="000000"/>
                <w:sz w:val="12"/>
                <w:szCs w:val="12"/>
                <w:lang w:val="ro-RO"/>
              </w:rPr>
            </w:pPr>
          </w:p>
        </w:tc>
        <w:tc>
          <w:tcPr>
            <w:tcW w:w="1523" w:type="dxa"/>
            <w:vMerge/>
            <w:tcBorders>
              <w:left w:val="nil"/>
              <w:right w:val="single" w:sz="4" w:space="0" w:color="auto"/>
            </w:tcBorders>
          </w:tcPr>
          <w:p w:rsidR="00F24302" w:rsidRPr="004B7C9F" w:rsidRDefault="00F24302" w:rsidP="006B6AE0">
            <w:pPr>
              <w:spacing w:after="0" w:line="240" w:lineRule="auto"/>
              <w:ind w:left="-32"/>
              <w:jc w:val="center"/>
              <w:rPr>
                <w:rFonts w:ascii="Times New Roman" w:eastAsia="Times New Roman" w:hAnsi="Times New Roman"/>
                <w:b/>
                <w:bCs/>
                <w:color w:val="000000"/>
                <w:sz w:val="12"/>
                <w:szCs w:val="12"/>
                <w:lang w:val="ro-RO" w:eastAsia="ru-RU"/>
              </w:rPr>
            </w:pPr>
          </w:p>
        </w:tc>
        <w:tc>
          <w:tcPr>
            <w:tcW w:w="565" w:type="dxa"/>
            <w:vMerge w:val="restart"/>
            <w:tcBorders>
              <w:top w:val="single" w:sz="4" w:space="0" w:color="auto"/>
              <w:left w:val="nil"/>
              <w:right w:val="single" w:sz="4" w:space="0" w:color="auto"/>
            </w:tcBorders>
            <w:noWrap/>
            <w:textDirection w:val="btLr"/>
            <w:vAlign w:val="center"/>
          </w:tcPr>
          <w:p w:rsidR="00F24302" w:rsidRPr="004B7C9F" w:rsidRDefault="00F24302" w:rsidP="006B6AE0">
            <w:pPr>
              <w:spacing w:after="0" w:line="240" w:lineRule="auto"/>
              <w:ind w:left="113" w:right="113"/>
              <w:jc w:val="center"/>
              <w:rPr>
                <w:rFonts w:ascii="Times New Roman" w:hAnsi="Times New Roman"/>
                <w:b/>
                <w:sz w:val="12"/>
                <w:szCs w:val="12"/>
                <w:lang w:val="ro-RO"/>
              </w:rPr>
            </w:pPr>
            <w:r w:rsidRPr="004B7C9F">
              <w:rPr>
                <w:rFonts w:ascii="Times New Roman" w:hAnsi="Times New Roman"/>
                <w:b/>
                <w:sz w:val="12"/>
                <w:szCs w:val="12"/>
                <w:lang w:val="ro-RO"/>
              </w:rPr>
              <w:t>sub  nivelul planificat</w:t>
            </w:r>
          </w:p>
        </w:tc>
        <w:tc>
          <w:tcPr>
            <w:tcW w:w="567" w:type="dxa"/>
            <w:vMerge w:val="restart"/>
            <w:tcBorders>
              <w:top w:val="single" w:sz="4" w:space="0" w:color="auto"/>
              <w:left w:val="nil"/>
              <w:right w:val="single" w:sz="4" w:space="0" w:color="auto"/>
            </w:tcBorders>
            <w:textDirection w:val="btLr"/>
            <w:vAlign w:val="center"/>
          </w:tcPr>
          <w:p w:rsidR="00F24302" w:rsidRPr="004B7C9F" w:rsidRDefault="00F24302" w:rsidP="006B6AE0">
            <w:pPr>
              <w:spacing w:after="0" w:line="240" w:lineRule="auto"/>
              <w:ind w:left="113" w:right="113"/>
              <w:jc w:val="center"/>
              <w:rPr>
                <w:rFonts w:ascii="Times New Roman" w:hAnsi="Times New Roman"/>
                <w:b/>
                <w:sz w:val="12"/>
                <w:szCs w:val="12"/>
                <w:lang w:val="ro-RO"/>
              </w:rPr>
            </w:pPr>
            <w:r w:rsidRPr="004B7C9F">
              <w:rPr>
                <w:rFonts w:ascii="Times New Roman" w:hAnsi="Times New Roman"/>
                <w:b/>
                <w:sz w:val="12"/>
                <w:szCs w:val="12"/>
                <w:lang w:val="ro-RO"/>
              </w:rPr>
              <w:t>peste nivelul planificat</w:t>
            </w:r>
          </w:p>
        </w:tc>
        <w:tc>
          <w:tcPr>
            <w:tcW w:w="609" w:type="dxa"/>
            <w:vMerge/>
            <w:tcBorders>
              <w:left w:val="nil"/>
              <w:right w:val="single" w:sz="4" w:space="0" w:color="auto"/>
            </w:tcBorders>
          </w:tcPr>
          <w:p w:rsidR="00F24302" w:rsidRPr="004B7C9F" w:rsidRDefault="00F24302" w:rsidP="006B6AE0">
            <w:pPr>
              <w:spacing w:after="0" w:line="240" w:lineRule="auto"/>
              <w:jc w:val="center"/>
              <w:rPr>
                <w:rFonts w:ascii="Times New Roman" w:hAnsi="Times New Roman"/>
                <w:b/>
                <w:sz w:val="12"/>
                <w:szCs w:val="12"/>
                <w:lang w:val="ro-RO"/>
              </w:rPr>
            </w:pPr>
          </w:p>
        </w:tc>
        <w:tc>
          <w:tcPr>
            <w:tcW w:w="567" w:type="dxa"/>
            <w:vMerge w:val="restart"/>
            <w:tcBorders>
              <w:top w:val="single" w:sz="4" w:space="0" w:color="auto"/>
              <w:left w:val="nil"/>
              <w:right w:val="single" w:sz="4" w:space="0" w:color="auto"/>
            </w:tcBorders>
            <w:noWrap/>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Estimare și aprobare incorectă</w:t>
            </w:r>
          </w:p>
        </w:tc>
        <w:tc>
          <w:tcPr>
            <w:tcW w:w="615" w:type="dxa"/>
            <w:vMerge w:val="restart"/>
            <w:tcBorders>
              <w:top w:val="single" w:sz="4" w:space="0" w:color="auto"/>
              <w:left w:val="nil"/>
              <w:right w:val="single" w:sz="4" w:space="0" w:color="auto"/>
            </w:tcBorders>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Diminuarea impozitului pe bunurile imobiliare</w:t>
            </w:r>
          </w:p>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Nr</w:t>
            </w:r>
            <w:r w:rsidRPr="003F09F4">
              <w:rPr>
                <w:rFonts w:ascii="Times New Roman" w:eastAsia="Times New Roman" w:hAnsi="Times New Roman"/>
                <w:b/>
                <w:color w:val="000000"/>
                <w:sz w:val="12"/>
                <w:szCs w:val="12"/>
                <w:lang w:val="ro-RO"/>
              </w:rPr>
              <w:t>. cont/suma</w:t>
            </w:r>
          </w:p>
        </w:tc>
        <w:tc>
          <w:tcPr>
            <w:tcW w:w="661" w:type="dxa"/>
            <w:vMerge w:val="restart"/>
            <w:tcBorders>
              <w:top w:val="single" w:sz="4" w:space="0" w:color="auto"/>
              <w:left w:val="nil"/>
              <w:right w:val="single" w:sz="4" w:space="0" w:color="auto"/>
            </w:tcBorders>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Divergențe dintre impozitul funciar calculat și planificat</w:t>
            </w:r>
          </w:p>
        </w:tc>
        <w:tc>
          <w:tcPr>
            <w:tcW w:w="661" w:type="dxa"/>
            <w:vMerge w:val="restart"/>
            <w:tcBorders>
              <w:top w:val="single" w:sz="4" w:space="0" w:color="auto"/>
              <w:left w:val="nil"/>
              <w:right w:val="single" w:sz="4" w:space="0" w:color="auto"/>
            </w:tcBorders>
            <w:noWrap/>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Estimare și aprobare incorect</w:t>
            </w:r>
            <w:r>
              <w:rPr>
                <w:rFonts w:ascii="Times New Roman" w:eastAsia="Times New Roman" w:hAnsi="Times New Roman"/>
                <w:b/>
                <w:color w:val="000000"/>
                <w:sz w:val="12"/>
                <w:szCs w:val="12"/>
                <w:lang w:val="ro-RO"/>
              </w:rPr>
              <w:t>ă</w:t>
            </w:r>
            <w:r w:rsidRPr="004B7C9F">
              <w:rPr>
                <w:rFonts w:ascii="Times New Roman" w:eastAsia="Times New Roman" w:hAnsi="Times New Roman"/>
                <w:b/>
                <w:color w:val="000000"/>
                <w:sz w:val="12"/>
                <w:szCs w:val="12"/>
                <w:lang w:val="ro-RO"/>
              </w:rPr>
              <w:t xml:space="preserve"> a plății de arendă a terenurilor</w:t>
            </w:r>
          </w:p>
        </w:tc>
        <w:tc>
          <w:tcPr>
            <w:tcW w:w="614" w:type="dxa"/>
            <w:vMerge w:val="restart"/>
            <w:tcBorders>
              <w:top w:val="single" w:sz="4" w:space="0" w:color="auto"/>
              <w:left w:val="nil"/>
              <w:right w:val="single" w:sz="4" w:space="0" w:color="auto"/>
            </w:tcBorders>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p>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Diminuarea plății de arendă din cauza neaplicării bonității tarifului și a suprafeței</w:t>
            </w:r>
          </w:p>
        </w:tc>
        <w:tc>
          <w:tcPr>
            <w:tcW w:w="1134" w:type="dxa"/>
            <w:gridSpan w:val="2"/>
            <w:vMerge w:val="restart"/>
            <w:tcBorders>
              <w:top w:val="single" w:sz="4" w:space="0" w:color="auto"/>
              <w:left w:val="single" w:sz="4" w:space="0" w:color="auto"/>
              <w:right w:val="single" w:sz="4" w:space="0" w:color="auto"/>
            </w:tcBorders>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bCs/>
                <w:color w:val="000000"/>
                <w:sz w:val="12"/>
                <w:szCs w:val="12"/>
                <w:lang w:val="ro-RO"/>
              </w:rPr>
              <w:t>Venituri neacumulate urmare  a transmiterii terenurilor fără licitație (pasul licitării)</w:t>
            </w:r>
          </w:p>
        </w:tc>
        <w:tc>
          <w:tcPr>
            <w:tcW w:w="610" w:type="dxa"/>
            <w:vMerge w:val="restart"/>
            <w:tcBorders>
              <w:top w:val="single" w:sz="4" w:space="0" w:color="auto"/>
              <w:left w:val="single" w:sz="4" w:space="0" w:color="auto"/>
              <w:right w:val="single" w:sz="4" w:space="0" w:color="auto"/>
            </w:tcBorders>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Datoriile debitoare la plata de arendă</w:t>
            </w:r>
          </w:p>
        </w:tc>
        <w:tc>
          <w:tcPr>
            <w:tcW w:w="756" w:type="dxa"/>
            <w:vMerge w:val="restart"/>
            <w:tcBorders>
              <w:top w:val="single" w:sz="4" w:space="0" w:color="auto"/>
              <w:left w:val="nil"/>
              <w:right w:val="single" w:sz="4" w:space="0" w:color="auto"/>
            </w:tcBorders>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Reflectarea incorect</w:t>
            </w:r>
            <w:r>
              <w:rPr>
                <w:rFonts w:ascii="Times New Roman" w:eastAsia="Times New Roman" w:hAnsi="Times New Roman"/>
                <w:b/>
                <w:color w:val="000000"/>
                <w:sz w:val="12"/>
                <w:szCs w:val="12"/>
                <w:lang w:val="ro-RO"/>
              </w:rPr>
              <w:t>ă</w:t>
            </w:r>
            <w:r w:rsidRPr="004B7C9F">
              <w:rPr>
                <w:rFonts w:ascii="Times New Roman" w:eastAsia="Times New Roman" w:hAnsi="Times New Roman"/>
                <w:b/>
                <w:color w:val="000000"/>
                <w:sz w:val="12"/>
                <w:szCs w:val="12"/>
                <w:lang w:val="ro-RO"/>
              </w:rPr>
              <w:t xml:space="preserve"> a datori</w:t>
            </w:r>
            <w:r>
              <w:rPr>
                <w:rFonts w:ascii="Times New Roman" w:eastAsia="Times New Roman" w:hAnsi="Times New Roman"/>
                <w:b/>
                <w:color w:val="000000"/>
                <w:sz w:val="12"/>
                <w:szCs w:val="12"/>
                <w:lang w:val="ro-RO"/>
              </w:rPr>
              <w:t>ei</w:t>
            </w:r>
            <w:r w:rsidRPr="004B7C9F">
              <w:rPr>
                <w:rFonts w:ascii="Times New Roman" w:eastAsia="Times New Roman" w:hAnsi="Times New Roman"/>
                <w:b/>
                <w:color w:val="000000"/>
                <w:sz w:val="12"/>
                <w:szCs w:val="12"/>
                <w:lang w:val="ro-RO"/>
              </w:rPr>
              <w:t xml:space="preserve"> debitoare la  plata de arendă  la contul extrabilan</w:t>
            </w:r>
            <w:r>
              <w:rPr>
                <w:rFonts w:ascii="Times New Roman" w:eastAsia="Times New Roman" w:hAnsi="Times New Roman"/>
                <w:b/>
                <w:color w:val="000000"/>
                <w:sz w:val="12"/>
                <w:szCs w:val="12"/>
                <w:lang w:val="ro-RO"/>
              </w:rPr>
              <w:t>ț</w:t>
            </w:r>
            <w:r w:rsidRPr="004B7C9F">
              <w:rPr>
                <w:rFonts w:ascii="Times New Roman" w:eastAsia="Times New Roman" w:hAnsi="Times New Roman"/>
                <w:b/>
                <w:color w:val="000000"/>
                <w:sz w:val="12"/>
                <w:szCs w:val="12"/>
                <w:lang w:val="ro-RO"/>
              </w:rPr>
              <w:t>ier</w:t>
            </w:r>
          </w:p>
        </w:tc>
        <w:tc>
          <w:tcPr>
            <w:tcW w:w="520" w:type="dxa"/>
            <w:vMerge w:val="restart"/>
            <w:tcBorders>
              <w:top w:val="single" w:sz="4" w:space="0" w:color="auto"/>
              <w:left w:val="nil"/>
              <w:right w:val="single" w:sz="4" w:space="0" w:color="auto"/>
            </w:tcBorders>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Modificarea plăților de arendă în lipsa acordurilor adiționale</w:t>
            </w:r>
          </w:p>
        </w:tc>
        <w:tc>
          <w:tcPr>
            <w:tcW w:w="567" w:type="dxa"/>
            <w:vMerge w:val="restart"/>
            <w:tcBorders>
              <w:top w:val="single" w:sz="4" w:space="0" w:color="auto"/>
              <w:left w:val="nil"/>
              <w:right w:val="single" w:sz="4" w:space="0" w:color="auto"/>
            </w:tcBorders>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Scutirea neîntemeiat</w:t>
            </w:r>
            <w:r>
              <w:rPr>
                <w:rFonts w:ascii="Times New Roman" w:eastAsia="Times New Roman" w:hAnsi="Times New Roman"/>
                <w:b/>
                <w:color w:val="000000"/>
                <w:sz w:val="12"/>
                <w:szCs w:val="12"/>
                <w:lang w:val="ro-RO"/>
              </w:rPr>
              <w:t>ă</w:t>
            </w:r>
            <w:r w:rsidRPr="004B7C9F">
              <w:rPr>
                <w:rFonts w:ascii="Times New Roman" w:eastAsia="Times New Roman" w:hAnsi="Times New Roman"/>
                <w:b/>
                <w:color w:val="000000"/>
                <w:sz w:val="12"/>
                <w:szCs w:val="12"/>
                <w:lang w:val="ro-RO"/>
              </w:rPr>
              <w:t xml:space="preserve"> a plăților de arendă</w:t>
            </w:r>
          </w:p>
        </w:tc>
        <w:tc>
          <w:tcPr>
            <w:tcW w:w="1606" w:type="dxa"/>
            <w:gridSpan w:val="3"/>
            <w:vMerge w:val="restart"/>
            <w:tcBorders>
              <w:top w:val="single" w:sz="4" w:space="0" w:color="auto"/>
              <w:left w:val="nil"/>
              <w:right w:val="single" w:sz="4" w:space="0" w:color="auto"/>
            </w:tcBorders>
          </w:tcPr>
          <w:p w:rsidR="00F24302" w:rsidRPr="004B7C9F" w:rsidRDefault="00F24302" w:rsidP="006B6AE0">
            <w:pPr>
              <w:spacing w:after="0" w:line="240" w:lineRule="auto"/>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Gestionarea terenurilor agricole în lipsa contractelor de arendă</w:t>
            </w:r>
          </w:p>
        </w:tc>
        <w:tc>
          <w:tcPr>
            <w:tcW w:w="1760" w:type="dxa"/>
            <w:gridSpan w:val="4"/>
            <w:vMerge w:val="restart"/>
            <w:tcBorders>
              <w:left w:val="single" w:sz="4" w:space="0" w:color="auto"/>
              <w:right w:val="single" w:sz="4" w:space="0" w:color="auto"/>
            </w:tcBorders>
          </w:tcPr>
          <w:p w:rsidR="00F24302" w:rsidRPr="004B7C9F" w:rsidRDefault="00F24302" w:rsidP="006B6AE0">
            <w:pPr>
              <w:spacing w:after="0" w:line="240" w:lineRule="auto"/>
              <w:ind w:right="-108"/>
              <w:rPr>
                <w:rFonts w:ascii="Times New Roman" w:hAnsi="Times New Roman"/>
                <w:b/>
                <w:sz w:val="12"/>
                <w:szCs w:val="12"/>
                <w:lang w:val="ro-RO"/>
              </w:rPr>
            </w:pPr>
            <w:r w:rsidRPr="004B7C9F">
              <w:rPr>
                <w:rFonts w:ascii="Times New Roman" w:hAnsi="Times New Roman"/>
                <w:b/>
                <w:sz w:val="12"/>
                <w:szCs w:val="12"/>
                <w:lang w:val="ro-RO"/>
              </w:rPr>
              <w:t xml:space="preserve">Gestionarea terenurilor aferente construcțiilor în lipsa </w:t>
            </w:r>
            <w:r w:rsidRPr="004B7C9F">
              <w:rPr>
                <w:rFonts w:ascii="Times New Roman" w:eastAsia="Times New Roman" w:hAnsi="Times New Roman"/>
                <w:b/>
                <w:color w:val="000000"/>
                <w:sz w:val="12"/>
                <w:szCs w:val="12"/>
                <w:lang w:val="ro-RO"/>
              </w:rPr>
              <w:t xml:space="preserve"> contractelor de arendă </w:t>
            </w:r>
          </w:p>
          <w:p w:rsidR="00F24302" w:rsidRPr="004B7C9F" w:rsidRDefault="00F24302" w:rsidP="006B6AE0">
            <w:pPr>
              <w:spacing w:after="0" w:line="240" w:lineRule="auto"/>
              <w:rPr>
                <w:rFonts w:ascii="Times New Roman" w:eastAsia="Times New Roman" w:hAnsi="Times New Roman"/>
                <w:b/>
                <w:color w:val="000000"/>
                <w:sz w:val="12"/>
                <w:szCs w:val="12"/>
                <w:lang w:val="ro-RO"/>
              </w:rPr>
            </w:pPr>
          </w:p>
        </w:tc>
        <w:tc>
          <w:tcPr>
            <w:tcW w:w="618" w:type="dxa"/>
            <w:gridSpan w:val="4"/>
            <w:vMerge w:val="restart"/>
            <w:tcBorders>
              <w:left w:val="single" w:sz="4" w:space="0" w:color="auto"/>
              <w:right w:val="single" w:sz="4" w:space="0" w:color="auto"/>
            </w:tcBorders>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Scutirea sau stabilirea unor taxe separate pentru unii contribuabili</w:t>
            </w:r>
          </w:p>
        </w:tc>
        <w:tc>
          <w:tcPr>
            <w:tcW w:w="567" w:type="dxa"/>
            <w:gridSpan w:val="2"/>
            <w:tcBorders>
              <w:left w:val="single" w:sz="4" w:space="0" w:color="auto"/>
              <w:right w:val="single" w:sz="4" w:space="0" w:color="auto"/>
            </w:tcBorders>
            <w:textDirection w:val="btLr"/>
            <w:vAlign w:val="center"/>
          </w:tcPr>
          <w:p w:rsidR="00F24302" w:rsidRPr="004B7C9F" w:rsidRDefault="00F24302" w:rsidP="006B6AE0">
            <w:pPr>
              <w:spacing w:after="0" w:line="240" w:lineRule="auto"/>
              <w:ind w:left="-108" w:right="-102"/>
              <w:jc w:val="center"/>
              <w:rPr>
                <w:rFonts w:ascii="Times New Roman" w:eastAsia="Times New Roman" w:hAnsi="Times New Roman"/>
                <w:b/>
                <w:bCs/>
                <w:color w:val="000000"/>
                <w:sz w:val="12"/>
                <w:szCs w:val="12"/>
                <w:lang w:val="ro-RO"/>
              </w:rPr>
            </w:pPr>
            <w:r>
              <w:rPr>
                <w:rFonts w:ascii="Times New Roman" w:eastAsia="Times New Roman" w:hAnsi="Times New Roman"/>
                <w:b/>
                <w:color w:val="000000"/>
                <w:sz w:val="12"/>
                <w:szCs w:val="12"/>
                <w:lang w:val="ro-RO"/>
              </w:rPr>
              <w:t>Dimin</w:t>
            </w:r>
            <w:r w:rsidRPr="004B7C9F">
              <w:rPr>
                <w:rFonts w:ascii="Times New Roman" w:eastAsia="Times New Roman" w:hAnsi="Times New Roman"/>
                <w:b/>
                <w:color w:val="000000"/>
                <w:sz w:val="12"/>
                <w:szCs w:val="12"/>
                <w:lang w:val="ro-RO"/>
              </w:rPr>
              <w:t>uarea taxelor</w:t>
            </w:r>
          </w:p>
        </w:tc>
        <w:tc>
          <w:tcPr>
            <w:tcW w:w="480" w:type="dxa"/>
            <w:gridSpan w:val="2"/>
            <w:vMerge w:val="restart"/>
            <w:tcBorders>
              <w:left w:val="single" w:sz="4" w:space="0" w:color="auto"/>
              <w:right w:val="single" w:sz="4" w:space="0" w:color="auto"/>
            </w:tcBorders>
            <w:textDirection w:val="btLr"/>
            <w:vAlign w:val="center"/>
          </w:tcPr>
          <w:p w:rsidR="00F24302" w:rsidRPr="004B7C9F" w:rsidRDefault="00F24302" w:rsidP="006B6AE0">
            <w:pPr>
              <w:spacing w:after="0" w:line="240" w:lineRule="auto"/>
              <w:ind w:left="113" w:right="113"/>
              <w:jc w:val="center"/>
              <w:rPr>
                <w:rFonts w:ascii="Times New Roman" w:eastAsia="Times New Roman" w:hAnsi="Times New Roman"/>
                <w:b/>
                <w:color w:val="000000"/>
                <w:sz w:val="12"/>
                <w:szCs w:val="12"/>
                <w:lang w:val="ro-RO"/>
              </w:rPr>
            </w:pPr>
            <w:r w:rsidRPr="004B7C9F">
              <w:rPr>
                <w:rFonts w:ascii="Times New Roman" w:eastAsia="Times New Roman" w:hAnsi="Times New Roman"/>
                <w:b/>
                <w:bCs/>
                <w:color w:val="000000"/>
                <w:sz w:val="12"/>
                <w:szCs w:val="12"/>
                <w:lang w:val="ro-RO"/>
              </w:rPr>
              <w:t>Rezerve la taxa pentru dispozitivele publicitare</w:t>
            </w:r>
          </w:p>
        </w:tc>
      </w:tr>
      <w:tr w:rsidR="00F24302" w:rsidRPr="003D14BB" w:rsidTr="006B6AE0">
        <w:trPr>
          <w:trHeight w:val="801"/>
        </w:trPr>
        <w:tc>
          <w:tcPr>
            <w:tcW w:w="417" w:type="dxa"/>
            <w:vMerge/>
            <w:tcBorders>
              <w:left w:val="single" w:sz="4" w:space="0" w:color="auto"/>
              <w:right w:val="single" w:sz="4" w:space="0" w:color="auto"/>
            </w:tcBorders>
            <w:vAlign w:val="center"/>
            <w:hideMark/>
          </w:tcPr>
          <w:p w:rsidR="00F24302" w:rsidRPr="00121F51" w:rsidRDefault="00F24302" w:rsidP="006B6AE0">
            <w:pPr>
              <w:spacing w:after="0" w:line="276" w:lineRule="auto"/>
              <w:rPr>
                <w:rFonts w:ascii="Times New Roman" w:eastAsia="Times New Roman" w:hAnsi="Times New Roman"/>
                <w:b/>
                <w:bCs/>
                <w:color w:val="000000"/>
                <w:sz w:val="12"/>
                <w:szCs w:val="12"/>
                <w:lang w:val="ro-RO"/>
              </w:rPr>
            </w:pPr>
          </w:p>
        </w:tc>
        <w:tc>
          <w:tcPr>
            <w:tcW w:w="1523" w:type="dxa"/>
            <w:vMerge/>
            <w:tcBorders>
              <w:left w:val="nil"/>
              <w:right w:val="single" w:sz="4" w:space="0" w:color="auto"/>
            </w:tcBorders>
            <w:vAlign w:val="center"/>
            <w:hideMark/>
          </w:tcPr>
          <w:p w:rsidR="00F24302" w:rsidRPr="00121F51" w:rsidRDefault="00F24302" w:rsidP="006B6AE0">
            <w:pPr>
              <w:spacing w:after="0" w:line="276" w:lineRule="auto"/>
              <w:rPr>
                <w:rFonts w:ascii="Times New Roman" w:eastAsia="Times New Roman" w:hAnsi="Times New Roman"/>
                <w:b/>
                <w:bCs/>
                <w:color w:val="000000"/>
                <w:sz w:val="12"/>
                <w:szCs w:val="12"/>
                <w:lang w:val="ro-RO"/>
              </w:rPr>
            </w:pPr>
          </w:p>
        </w:tc>
        <w:tc>
          <w:tcPr>
            <w:tcW w:w="565" w:type="dxa"/>
            <w:vMerge/>
            <w:tcBorders>
              <w:left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567" w:type="dxa"/>
            <w:vMerge/>
            <w:tcBorders>
              <w:left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609" w:type="dxa"/>
            <w:vMerge/>
            <w:tcBorders>
              <w:left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567" w:type="dxa"/>
            <w:vMerge/>
            <w:tcBorders>
              <w:left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615" w:type="dxa"/>
            <w:vMerge/>
            <w:tcBorders>
              <w:left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661" w:type="dxa"/>
            <w:vMerge/>
            <w:tcBorders>
              <w:left w:val="nil"/>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2"/>
                <w:szCs w:val="12"/>
                <w:lang w:val="ro-RO"/>
              </w:rPr>
            </w:pPr>
          </w:p>
        </w:tc>
        <w:tc>
          <w:tcPr>
            <w:tcW w:w="661" w:type="dxa"/>
            <w:vMerge/>
            <w:tcBorders>
              <w:left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614" w:type="dxa"/>
            <w:vMerge/>
            <w:tcBorders>
              <w:left w:val="nil"/>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1134" w:type="dxa"/>
            <w:gridSpan w:val="2"/>
            <w:vMerge/>
            <w:tcBorders>
              <w:left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610" w:type="dxa"/>
            <w:vMerge/>
            <w:tcBorders>
              <w:left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756" w:type="dxa"/>
            <w:vMerge/>
            <w:tcBorders>
              <w:left w:val="nil"/>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2"/>
                <w:szCs w:val="12"/>
                <w:lang w:val="ro-RO"/>
              </w:rPr>
            </w:pPr>
          </w:p>
        </w:tc>
        <w:tc>
          <w:tcPr>
            <w:tcW w:w="520" w:type="dxa"/>
            <w:vMerge/>
            <w:tcBorders>
              <w:left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567" w:type="dxa"/>
            <w:vMerge/>
            <w:tcBorders>
              <w:left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1606" w:type="dxa"/>
            <w:gridSpan w:val="3"/>
            <w:vMerge/>
            <w:tcBorders>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1760" w:type="dxa"/>
            <w:gridSpan w:val="4"/>
            <w:vMerge/>
            <w:tcBorders>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618" w:type="dxa"/>
            <w:gridSpan w:val="4"/>
            <w:vMerge/>
            <w:tcBorders>
              <w:left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567" w:type="dxa"/>
            <w:gridSpan w:val="2"/>
            <w:tcBorders>
              <w:left w:val="single" w:sz="4" w:space="0" w:color="auto"/>
              <w:right w:val="single" w:sz="4" w:space="0" w:color="auto"/>
            </w:tcBorders>
            <w:vAlign w:val="center"/>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480" w:type="dxa"/>
            <w:gridSpan w:val="2"/>
            <w:vMerge/>
            <w:tcBorders>
              <w:left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r>
      <w:tr w:rsidR="00F24302" w:rsidRPr="00121F51" w:rsidTr="006B6AE0">
        <w:trPr>
          <w:trHeight w:val="375"/>
        </w:trPr>
        <w:tc>
          <w:tcPr>
            <w:tcW w:w="417" w:type="dxa"/>
            <w:vMerge/>
            <w:tcBorders>
              <w:left w:val="single" w:sz="4" w:space="0" w:color="auto"/>
              <w:right w:val="single" w:sz="4" w:space="0" w:color="auto"/>
            </w:tcBorders>
            <w:vAlign w:val="center"/>
          </w:tcPr>
          <w:p w:rsidR="00F24302" w:rsidRPr="00121F51" w:rsidRDefault="00F24302" w:rsidP="006B6AE0">
            <w:pPr>
              <w:spacing w:after="0" w:line="276" w:lineRule="auto"/>
              <w:rPr>
                <w:rFonts w:ascii="Times New Roman" w:eastAsia="Times New Roman" w:hAnsi="Times New Roman"/>
                <w:b/>
                <w:bCs/>
                <w:color w:val="000000"/>
                <w:sz w:val="14"/>
                <w:szCs w:val="16"/>
                <w:lang w:val="ro-RO"/>
              </w:rPr>
            </w:pPr>
          </w:p>
        </w:tc>
        <w:tc>
          <w:tcPr>
            <w:tcW w:w="1523" w:type="dxa"/>
            <w:vMerge/>
            <w:tcBorders>
              <w:left w:val="nil"/>
              <w:right w:val="single" w:sz="4" w:space="0" w:color="auto"/>
            </w:tcBorders>
            <w:vAlign w:val="center"/>
          </w:tcPr>
          <w:p w:rsidR="00F24302" w:rsidRPr="00121F51" w:rsidRDefault="00F24302" w:rsidP="006B6AE0">
            <w:pPr>
              <w:spacing w:after="0" w:line="276" w:lineRule="auto"/>
              <w:rPr>
                <w:rFonts w:ascii="Times New Roman" w:eastAsia="Times New Roman" w:hAnsi="Times New Roman"/>
                <w:b/>
                <w:bCs/>
                <w:color w:val="000000"/>
                <w:sz w:val="14"/>
                <w:szCs w:val="16"/>
                <w:lang w:val="ro-RO"/>
              </w:rPr>
            </w:pPr>
          </w:p>
        </w:tc>
        <w:tc>
          <w:tcPr>
            <w:tcW w:w="565" w:type="dxa"/>
            <w:vMerge/>
            <w:tcBorders>
              <w:left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vMerge/>
            <w:tcBorders>
              <w:left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09" w:type="dxa"/>
            <w:vMerge/>
            <w:tcBorders>
              <w:left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vMerge/>
            <w:tcBorders>
              <w:left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vMerge/>
            <w:tcBorders>
              <w:left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vMerge/>
            <w:tcBorders>
              <w:left w:val="nil"/>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4"/>
                <w:szCs w:val="16"/>
                <w:lang w:val="ro-RO"/>
              </w:rPr>
            </w:pPr>
          </w:p>
        </w:tc>
        <w:tc>
          <w:tcPr>
            <w:tcW w:w="661" w:type="dxa"/>
            <w:vMerge/>
            <w:tcBorders>
              <w:left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vMerge/>
            <w:tcBorders>
              <w:left w:val="nil"/>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1134" w:type="dxa"/>
            <w:gridSpan w:val="2"/>
            <w:vMerge/>
            <w:tcBorders>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vMerge/>
            <w:tcBorders>
              <w:left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756" w:type="dxa"/>
            <w:vMerge/>
            <w:tcBorders>
              <w:left w:val="nil"/>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4"/>
                <w:szCs w:val="16"/>
                <w:lang w:val="ro-RO"/>
              </w:rPr>
            </w:pPr>
          </w:p>
        </w:tc>
        <w:tc>
          <w:tcPr>
            <w:tcW w:w="520" w:type="dxa"/>
            <w:vMerge/>
            <w:tcBorders>
              <w:left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vMerge/>
            <w:tcBorders>
              <w:left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vMerge w:val="restart"/>
            <w:tcBorders>
              <w:top w:val="single" w:sz="4" w:space="0" w:color="auto"/>
              <w:left w:val="nil"/>
              <w:right w:val="single" w:sz="4" w:space="0" w:color="auto"/>
            </w:tcBorders>
            <w:vAlign w:val="center"/>
          </w:tcPr>
          <w:p w:rsidR="00F24302" w:rsidRPr="004B7C9F" w:rsidRDefault="00F24302" w:rsidP="006B6AE0">
            <w:pPr>
              <w:spacing w:after="0" w:line="240" w:lineRule="auto"/>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ha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302" w:rsidRPr="004B7C9F" w:rsidRDefault="00F24302" w:rsidP="006B6AE0">
            <w:pPr>
              <w:spacing w:after="0" w:line="240" w:lineRule="auto"/>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suma</w:t>
            </w:r>
          </w:p>
        </w:tc>
        <w:tc>
          <w:tcPr>
            <w:tcW w:w="567" w:type="dxa"/>
            <w:vMerge w:val="restart"/>
            <w:tcBorders>
              <w:top w:val="single" w:sz="4" w:space="0" w:color="auto"/>
              <w:left w:val="single" w:sz="4" w:space="0" w:color="auto"/>
              <w:right w:val="single" w:sz="4" w:space="0" w:color="auto"/>
            </w:tcBorders>
            <w:vAlign w:val="center"/>
          </w:tcPr>
          <w:p w:rsidR="00F24302" w:rsidRPr="004B7C9F" w:rsidRDefault="00F24302" w:rsidP="006B6AE0">
            <w:pPr>
              <w:spacing w:after="0" w:line="240" w:lineRule="auto"/>
              <w:ind w:left="-386" w:firstLine="386"/>
              <w:jc w:val="center"/>
              <w:rPr>
                <w:rFonts w:ascii="Times New Roman" w:eastAsia="Times New Roman" w:hAnsi="Times New Roman"/>
                <w:b/>
                <w:color w:val="000000"/>
                <w:sz w:val="14"/>
                <w:szCs w:val="16"/>
                <w:lang w:val="ro-RO"/>
              </w:rPr>
            </w:pPr>
            <w:r w:rsidRPr="004B7C9F">
              <w:rPr>
                <w:rFonts w:ascii="Times New Roman" w:eastAsia="Times New Roman" w:hAnsi="Times New Roman"/>
                <w:b/>
                <w:color w:val="000000"/>
                <w:sz w:val="14"/>
                <w:szCs w:val="16"/>
                <w:lang w:val="ro-RO"/>
              </w:rPr>
              <w:t>ha</w:t>
            </w:r>
          </w:p>
        </w:tc>
        <w:tc>
          <w:tcPr>
            <w:tcW w:w="1193" w:type="dxa"/>
            <w:gridSpan w:val="3"/>
            <w:tcBorders>
              <w:top w:val="single" w:sz="4" w:space="0" w:color="auto"/>
              <w:left w:val="single" w:sz="4" w:space="0" w:color="auto"/>
              <w:bottom w:val="single" w:sz="4" w:space="0" w:color="auto"/>
              <w:right w:val="single" w:sz="4" w:space="0" w:color="auto"/>
            </w:tcBorders>
            <w:noWrap/>
            <w:vAlign w:val="center"/>
          </w:tcPr>
          <w:p w:rsidR="00F24302" w:rsidRPr="004B7C9F" w:rsidRDefault="00F24302" w:rsidP="006B6AE0">
            <w:pPr>
              <w:spacing w:after="0" w:line="240" w:lineRule="auto"/>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suma</w:t>
            </w:r>
          </w:p>
        </w:tc>
        <w:tc>
          <w:tcPr>
            <w:tcW w:w="618" w:type="dxa"/>
            <w:gridSpan w:val="4"/>
            <w:vMerge/>
            <w:tcBorders>
              <w:left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left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bCs/>
                <w:color w:val="000000"/>
                <w:sz w:val="12"/>
                <w:szCs w:val="14"/>
                <w:lang w:val="ro-RO"/>
              </w:rPr>
            </w:pPr>
          </w:p>
        </w:tc>
        <w:tc>
          <w:tcPr>
            <w:tcW w:w="480" w:type="dxa"/>
            <w:gridSpan w:val="2"/>
            <w:vMerge/>
            <w:tcBorders>
              <w:left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Cs/>
                <w:color w:val="000000"/>
                <w:sz w:val="12"/>
                <w:szCs w:val="14"/>
                <w:lang w:val="ro-RO"/>
              </w:rPr>
            </w:pPr>
          </w:p>
        </w:tc>
      </w:tr>
      <w:tr w:rsidR="00F24302" w:rsidRPr="00121F51" w:rsidTr="006B6AE0">
        <w:trPr>
          <w:gridAfter w:val="1"/>
          <w:wAfter w:w="7" w:type="dxa"/>
          <w:trHeight w:val="217"/>
        </w:trPr>
        <w:tc>
          <w:tcPr>
            <w:tcW w:w="417" w:type="dxa"/>
            <w:vMerge/>
            <w:tcBorders>
              <w:left w:val="single" w:sz="4" w:space="0" w:color="auto"/>
              <w:bottom w:val="single" w:sz="4" w:space="0" w:color="auto"/>
              <w:right w:val="single" w:sz="4" w:space="0" w:color="auto"/>
            </w:tcBorders>
            <w:vAlign w:val="center"/>
          </w:tcPr>
          <w:p w:rsidR="00F24302" w:rsidRPr="00121F51" w:rsidRDefault="00F24302" w:rsidP="006B6AE0">
            <w:pPr>
              <w:spacing w:after="0" w:line="276" w:lineRule="auto"/>
              <w:rPr>
                <w:rFonts w:ascii="Times New Roman" w:eastAsia="Times New Roman" w:hAnsi="Times New Roman"/>
                <w:b/>
                <w:bCs/>
                <w:color w:val="000000"/>
                <w:sz w:val="14"/>
                <w:szCs w:val="16"/>
                <w:lang w:val="ro-RO"/>
              </w:rPr>
            </w:pPr>
          </w:p>
        </w:tc>
        <w:tc>
          <w:tcPr>
            <w:tcW w:w="1523" w:type="dxa"/>
            <w:vMerge/>
            <w:tcBorders>
              <w:left w:val="nil"/>
              <w:bottom w:val="single" w:sz="4" w:space="0" w:color="auto"/>
              <w:right w:val="single" w:sz="4" w:space="0" w:color="auto"/>
            </w:tcBorders>
            <w:vAlign w:val="center"/>
          </w:tcPr>
          <w:p w:rsidR="00F24302" w:rsidRPr="00121F51" w:rsidRDefault="00F24302" w:rsidP="006B6AE0">
            <w:pPr>
              <w:spacing w:after="0" w:line="276" w:lineRule="auto"/>
              <w:rPr>
                <w:rFonts w:ascii="Times New Roman" w:eastAsia="Times New Roman" w:hAnsi="Times New Roman"/>
                <w:b/>
                <w:bCs/>
                <w:color w:val="000000"/>
                <w:sz w:val="14"/>
                <w:szCs w:val="16"/>
                <w:lang w:val="ro-RO"/>
              </w:rPr>
            </w:pPr>
          </w:p>
        </w:tc>
        <w:tc>
          <w:tcPr>
            <w:tcW w:w="565" w:type="dxa"/>
            <w:vMerge/>
            <w:tcBorders>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vMerge/>
            <w:tcBorders>
              <w:left w:val="single" w:sz="4" w:space="0" w:color="auto"/>
              <w:bottom w:val="nil"/>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09" w:type="dxa"/>
            <w:vMerge/>
            <w:tcBorders>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vMerge/>
            <w:tcBorders>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vMerge/>
            <w:tcBorders>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vMerge/>
            <w:tcBorders>
              <w:left w:val="nil"/>
              <w:bottom w:val="single" w:sz="4" w:space="0" w:color="auto"/>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4"/>
                <w:szCs w:val="16"/>
                <w:lang w:val="ro-RO"/>
              </w:rPr>
            </w:pPr>
          </w:p>
        </w:tc>
        <w:tc>
          <w:tcPr>
            <w:tcW w:w="661" w:type="dxa"/>
            <w:vMerge/>
            <w:tcBorders>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vMerge/>
            <w:tcBorders>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single" w:sz="4" w:space="0" w:color="auto"/>
              <w:left w:val="single" w:sz="4" w:space="0" w:color="auto"/>
              <w:bottom w:val="single" w:sz="4" w:space="0" w:color="auto"/>
              <w:right w:val="single" w:sz="4" w:space="0" w:color="auto"/>
            </w:tcBorders>
            <w:vAlign w:val="center"/>
          </w:tcPr>
          <w:p w:rsidR="00F24302" w:rsidRPr="004B7C9F" w:rsidRDefault="00F24302" w:rsidP="006B6AE0">
            <w:pPr>
              <w:spacing w:after="0" w:line="240" w:lineRule="auto"/>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10%</w:t>
            </w:r>
          </w:p>
        </w:tc>
        <w:tc>
          <w:tcPr>
            <w:tcW w:w="567" w:type="dxa"/>
            <w:tcBorders>
              <w:top w:val="single" w:sz="4" w:space="0" w:color="auto"/>
              <w:left w:val="single" w:sz="4" w:space="0" w:color="auto"/>
              <w:bottom w:val="single" w:sz="4" w:space="0" w:color="auto"/>
              <w:right w:val="single" w:sz="4" w:space="0" w:color="auto"/>
            </w:tcBorders>
            <w:vAlign w:val="center"/>
          </w:tcPr>
          <w:p w:rsidR="00F24302" w:rsidRPr="004B7C9F" w:rsidRDefault="00F24302" w:rsidP="006B6AE0">
            <w:pPr>
              <w:spacing w:after="0" w:line="240" w:lineRule="auto"/>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50%</w:t>
            </w:r>
          </w:p>
        </w:tc>
        <w:tc>
          <w:tcPr>
            <w:tcW w:w="610" w:type="dxa"/>
            <w:vMerge/>
            <w:tcBorders>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756" w:type="dxa"/>
            <w:vMerge/>
            <w:tcBorders>
              <w:left w:val="nil"/>
              <w:bottom w:val="single" w:sz="4" w:space="0" w:color="auto"/>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4"/>
                <w:szCs w:val="16"/>
                <w:lang w:val="ro-RO"/>
              </w:rPr>
            </w:pPr>
          </w:p>
        </w:tc>
        <w:tc>
          <w:tcPr>
            <w:tcW w:w="520" w:type="dxa"/>
            <w:vMerge/>
            <w:tcBorders>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vMerge/>
            <w:tcBorders>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vMerge/>
            <w:tcBorders>
              <w:top w:val="single" w:sz="4" w:space="0" w:color="auto"/>
              <w:left w:val="nil"/>
              <w:bottom w:val="single" w:sz="4" w:space="0" w:color="auto"/>
              <w:right w:val="single" w:sz="4" w:space="0" w:color="auto"/>
            </w:tcBorders>
            <w:vAlign w:val="center"/>
          </w:tcPr>
          <w:p w:rsidR="00F24302" w:rsidRPr="004B7C9F" w:rsidRDefault="00F24302" w:rsidP="006B6AE0">
            <w:pPr>
              <w:spacing w:after="0" w:line="240" w:lineRule="auto"/>
              <w:jc w:val="center"/>
              <w:rPr>
                <w:rFonts w:ascii="Times New Roman" w:eastAsia="Times New Roman" w:hAnsi="Times New Roman"/>
                <w:b/>
                <w:color w:val="000000"/>
                <w:sz w:val="12"/>
                <w:szCs w:val="12"/>
                <w:lang w:val="ro-RO"/>
              </w:rPr>
            </w:pPr>
          </w:p>
        </w:tc>
        <w:tc>
          <w:tcPr>
            <w:tcW w:w="567" w:type="dxa"/>
            <w:tcBorders>
              <w:top w:val="single" w:sz="4" w:space="0" w:color="auto"/>
              <w:left w:val="single" w:sz="4" w:space="0" w:color="auto"/>
              <w:bottom w:val="single" w:sz="4" w:space="0" w:color="auto"/>
              <w:right w:val="single" w:sz="4" w:space="0" w:color="auto"/>
            </w:tcBorders>
            <w:vAlign w:val="center"/>
          </w:tcPr>
          <w:p w:rsidR="00F24302" w:rsidRPr="004B7C9F" w:rsidRDefault="00F24302" w:rsidP="006B6AE0">
            <w:pPr>
              <w:spacing w:after="0" w:line="240" w:lineRule="auto"/>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2%</w:t>
            </w:r>
          </w:p>
        </w:tc>
        <w:tc>
          <w:tcPr>
            <w:tcW w:w="567" w:type="dxa"/>
            <w:tcBorders>
              <w:top w:val="single" w:sz="4" w:space="0" w:color="auto"/>
              <w:left w:val="single" w:sz="4" w:space="0" w:color="auto"/>
              <w:bottom w:val="single" w:sz="4" w:space="0" w:color="auto"/>
              <w:right w:val="single" w:sz="4" w:space="0" w:color="auto"/>
            </w:tcBorders>
            <w:noWrap/>
            <w:vAlign w:val="center"/>
          </w:tcPr>
          <w:p w:rsidR="00F24302" w:rsidRPr="004B7C9F" w:rsidRDefault="00F24302" w:rsidP="006B6AE0">
            <w:pPr>
              <w:spacing w:after="0" w:line="240" w:lineRule="auto"/>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10%</w:t>
            </w:r>
          </w:p>
        </w:tc>
        <w:tc>
          <w:tcPr>
            <w:tcW w:w="567" w:type="dxa"/>
            <w:vMerge/>
            <w:tcBorders>
              <w:left w:val="single" w:sz="4" w:space="0" w:color="auto"/>
              <w:bottom w:val="single" w:sz="4" w:space="0" w:color="auto"/>
              <w:right w:val="single" w:sz="4" w:space="0" w:color="auto"/>
            </w:tcBorders>
            <w:vAlign w:val="center"/>
          </w:tcPr>
          <w:p w:rsidR="00F24302" w:rsidRPr="004B7C9F" w:rsidRDefault="00F24302" w:rsidP="006B6AE0">
            <w:pPr>
              <w:spacing w:after="0" w:line="240" w:lineRule="auto"/>
              <w:jc w:val="center"/>
              <w:rPr>
                <w:rFonts w:ascii="Times New Roman" w:eastAsia="Times New Roman" w:hAnsi="Times New Roman"/>
                <w:b/>
                <w:color w:val="000000"/>
                <w:sz w:val="14"/>
                <w:szCs w:val="16"/>
                <w:lang w:val="ro-RO"/>
              </w:rPr>
            </w:pPr>
          </w:p>
        </w:tc>
        <w:tc>
          <w:tcPr>
            <w:tcW w:w="619" w:type="dxa"/>
            <w:tcBorders>
              <w:top w:val="single" w:sz="4" w:space="0" w:color="auto"/>
              <w:left w:val="single" w:sz="4" w:space="0" w:color="auto"/>
              <w:bottom w:val="single" w:sz="4" w:space="0" w:color="auto"/>
              <w:right w:val="single" w:sz="4" w:space="0" w:color="auto"/>
            </w:tcBorders>
            <w:noWrap/>
            <w:vAlign w:val="center"/>
          </w:tcPr>
          <w:p w:rsidR="00F24302" w:rsidRPr="004B7C9F" w:rsidRDefault="00F24302" w:rsidP="006B6AE0">
            <w:pPr>
              <w:spacing w:after="0" w:line="240" w:lineRule="auto"/>
              <w:jc w:val="center"/>
              <w:rPr>
                <w:rFonts w:ascii="Times New Roman" w:eastAsia="Times New Roman" w:hAnsi="Times New Roman"/>
                <w:b/>
                <w:color w:val="000000"/>
                <w:sz w:val="12"/>
                <w:szCs w:val="12"/>
                <w:lang w:val="ro-RO"/>
              </w:rPr>
            </w:pPr>
            <w:r w:rsidRPr="004B7C9F">
              <w:rPr>
                <w:rFonts w:ascii="Times New Roman" w:eastAsia="Times New Roman" w:hAnsi="Times New Roman"/>
                <w:b/>
                <w:color w:val="000000"/>
                <w:sz w:val="12"/>
                <w:szCs w:val="12"/>
                <w:lang w:val="ro-RO"/>
              </w:rPr>
              <w:t>0,2;0,5%</w:t>
            </w:r>
          </w:p>
        </w:tc>
        <w:tc>
          <w:tcPr>
            <w:tcW w:w="567" w:type="dxa"/>
            <w:tcBorders>
              <w:top w:val="single" w:sz="4" w:space="0" w:color="auto"/>
              <w:left w:val="nil"/>
              <w:bottom w:val="single" w:sz="4" w:space="0" w:color="auto"/>
              <w:right w:val="single" w:sz="4" w:space="0" w:color="auto"/>
            </w:tcBorders>
            <w:vAlign w:val="center"/>
          </w:tcPr>
          <w:p w:rsidR="00F24302" w:rsidRPr="004B7C9F" w:rsidRDefault="00F24302" w:rsidP="006B6AE0">
            <w:pPr>
              <w:spacing w:after="0" w:line="240" w:lineRule="auto"/>
              <w:jc w:val="center"/>
              <w:rPr>
                <w:rFonts w:ascii="Times New Roman" w:eastAsia="Times New Roman" w:hAnsi="Times New Roman"/>
                <w:b/>
                <w:color w:val="000000"/>
                <w:sz w:val="14"/>
                <w:szCs w:val="16"/>
                <w:lang w:val="ro-RO"/>
              </w:rPr>
            </w:pPr>
            <w:r w:rsidRPr="004B7C9F">
              <w:rPr>
                <w:rFonts w:ascii="Times New Roman" w:eastAsia="Times New Roman" w:hAnsi="Times New Roman"/>
                <w:b/>
                <w:color w:val="000000"/>
                <w:sz w:val="14"/>
                <w:szCs w:val="16"/>
                <w:lang w:val="ro-RO"/>
              </w:rPr>
              <w:t>10%</w:t>
            </w:r>
          </w:p>
        </w:tc>
        <w:tc>
          <w:tcPr>
            <w:tcW w:w="618" w:type="dxa"/>
            <w:gridSpan w:val="4"/>
            <w:tcBorders>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bCs/>
                <w:color w:val="000000"/>
                <w:sz w:val="12"/>
                <w:szCs w:val="14"/>
                <w:lang w:val="ro-RO"/>
              </w:rPr>
            </w:pPr>
          </w:p>
        </w:tc>
        <w:tc>
          <w:tcPr>
            <w:tcW w:w="480" w:type="dxa"/>
            <w:gridSpan w:val="2"/>
            <w:tcBorders>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Cs/>
                <w:color w:val="000000"/>
                <w:sz w:val="12"/>
                <w:szCs w:val="14"/>
                <w:lang w:val="ro-RO"/>
              </w:rPr>
            </w:pPr>
          </w:p>
        </w:tc>
      </w:tr>
      <w:tr w:rsidR="00F24302" w:rsidRPr="00121F51" w:rsidTr="006B6AE0">
        <w:trPr>
          <w:gridAfter w:val="1"/>
          <w:wAfter w:w="7" w:type="dxa"/>
        </w:trPr>
        <w:tc>
          <w:tcPr>
            <w:tcW w:w="417" w:type="dxa"/>
            <w:tcBorders>
              <w:top w:val="single" w:sz="4" w:space="0" w:color="auto"/>
              <w:left w:val="single" w:sz="4" w:space="0" w:color="auto"/>
              <w:bottom w:val="single" w:sz="4" w:space="0" w:color="auto"/>
              <w:right w:val="single" w:sz="4" w:space="0" w:color="auto"/>
            </w:tcBorders>
            <w:noWrap/>
            <w:vAlign w:val="bottom"/>
            <w:hideMark/>
          </w:tcPr>
          <w:p w:rsidR="00F24302" w:rsidRPr="004B7C9F" w:rsidRDefault="00F24302" w:rsidP="006B6AE0">
            <w:pPr>
              <w:spacing w:after="0" w:line="240" w:lineRule="auto"/>
              <w:ind w:left="-32"/>
              <w:jc w:val="center"/>
              <w:rPr>
                <w:rFonts w:ascii="Times New Roman" w:eastAsia="Times New Roman" w:hAnsi="Times New Roman"/>
                <w:color w:val="000000"/>
                <w:sz w:val="10"/>
                <w:szCs w:val="10"/>
                <w:lang w:val="ro-RO" w:eastAsia="ru-RU"/>
              </w:rPr>
            </w:pPr>
            <w:r w:rsidRPr="004B7C9F">
              <w:rPr>
                <w:rFonts w:ascii="Times New Roman" w:eastAsia="Times New Roman" w:hAnsi="Times New Roman"/>
                <w:color w:val="000000"/>
                <w:sz w:val="10"/>
                <w:szCs w:val="10"/>
                <w:lang w:val="ro-RO" w:eastAsia="ru-RU"/>
              </w:rPr>
              <w:t>1</w:t>
            </w:r>
          </w:p>
        </w:tc>
        <w:tc>
          <w:tcPr>
            <w:tcW w:w="1523" w:type="dxa"/>
            <w:tcBorders>
              <w:top w:val="single" w:sz="4" w:space="0" w:color="auto"/>
              <w:left w:val="nil"/>
              <w:bottom w:val="single" w:sz="4" w:space="0" w:color="auto"/>
              <w:right w:val="single" w:sz="4" w:space="0" w:color="auto"/>
            </w:tcBorders>
            <w:vAlign w:val="center"/>
            <w:hideMark/>
          </w:tcPr>
          <w:p w:rsidR="00F24302" w:rsidRPr="004B7C9F" w:rsidRDefault="00F24302" w:rsidP="006B6AE0">
            <w:pPr>
              <w:spacing w:after="0" w:line="240" w:lineRule="auto"/>
              <w:ind w:left="-32"/>
              <w:jc w:val="center"/>
              <w:rPr>
                <w:rFonts w:ascii="Times New Roman" w:eastAsia="Times New Roman" w:hAnsi="Times New Roman"/>
                <w:color w:val="000000"/>
                <w:sz w:val="10"/>
                <w:szCs w:val="10"/>
                <w:lang w:val="ro-RO" w:eastAsia="ru-RU"/>
              </w:rPr>
            </w:pPr>
            <w:r w:rsidRPr="004B7C9F">
              <w:rPr>
                <w:rFonts w:ascii="Times New Roman" w:eastAsia="Times New Roman" w:hAnsi="Times New Roman"/>
                <w:color w:val="000000"/>
                <w:sz w:val="10"/>
                <w:szCs w:val="10"/>
                <w:lang w:val="ro-RO" w:eastAsia="ru-RU"/>
              </w:rPr>
              <w:t>2</w:t>
            </w:r>
          </w:p>
        </w:tc>
        <w:tc>
          <w:tcPr>
            <w:tcW w:w="565" w:type="dxa"/>
            <w:tcBorders>
              <w:top w:val="nil"/>
              <w:left w:val="nil"/>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3</w:t>
            </w:r>
          </w:p>
        </w:tc>
        <w:tc>
          <w:tcPr>
            <w:tcW w:w="567" w:type="dxa"/>
            <w:tcBorders>
              <w:top w:val="single" w:sz="4" w:space="0" w:color="auto"/>
              <w:left w:val="nil"/>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4</w:t>
            </w:r>
          </w:p>
        </w:tc>
        <w:tc>
          <w:tcPr>
            <w:tcW w:w="609" w:type="dxa"/>
            <w:tcBorders>
              <w:top w:val="single" w:sz="4" w:space="0" w:color="auto"/>
              <w:left w:val="nil"/>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5</w:t>
            </w:r>
          </w:p>
        </w:tc>
        <w:tc>
          <w:tcPr>
            <w:tcW w:w="567" w:type="dxa"/>
            <w:tcBorders>
              <w:top w:val="nil"/>
              <w:left w:val="nil"/>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6</w:t>
            </w:r>
          </w:p>
        </w:tc>
        <w:tc>
          <w:tcPr>
            <w:tcW w:w="615" w:type="dxa"/>
            <w:tcBorders>
              <w:top w:val="single" w:sz="4" w:space="0" w:color="auto"/>
              <w:left w:val="nil"/>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7</w:t>
            </w:r>
          </w:p>
        </w:tc>
        <w:tc>
          <w:tcPr>
            <w:tcW w:w="661" w:type="dxa"/>
            <w:tcBorders>
              <w:top w:val="nil"/>
              <w:left w:val="nil"/>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8</w:t>
            </w:r>
          </w:p>
        </w:tc>
        <w:tc>
          <w:tcPr>
            <w:tcW w:w="661" w:type="dxa"/>
            <w:tcBorders>
              <w:top w:val="nil"/>
              <w:left w:val="nil"/>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9</w:t>
            </w:r>
          </w:p>
        </w:tc>
        <w:tc>
          <w:tcPr>
            <w:tcW w:w="614" w:type="dxa"/>
            <w:tcBorders>
              <w:top w:val="nil"/>
              <w:left w:val="nil"/>
              <w:bottom w:val="single" w:sz="4" w:space="0" w:color="auto"/>
              <w:right w:val="single" w:sz="4" w:space="0" w:color="auto"/>
            </w:tcBorders>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10</w:t>
            </w:r>
          </w:p>
        </w:tc>
        <w:tc>
          <w:tcPr>
            <w:tcW w:w="567" w:type="dxa"/>
            <w:tcBorders>
              <w:top w:val="nil"/>
              <w:left w:val="single" w:sz="4" w:space="0" w:color="auto"/>
              <w:bottom w:val="single" w:sz="4" w:space="0" w:color="auto"/>
              <w:right w:val="single" w:sz="4" w:space="0" w:color="auto"/>
            </w:tcBorders>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11</w:t>
            </w:r>
          </w:p>
        </w:tc>
        <w:tc>
          <w:tcPr>
            <w:tcW w:w="567" w:type="dxa"/>
            <w:tcBorders>
              <w:top w:val="nil"/>
              <w:left w:val="single" w:sz="4" w:space="0" w:color="auto"/>
              <w:bottom w:val="single" w:sz="4" w:space="0" w:color="auto"/>
              <w:right w:val="single" w:sz="4" w:space="0" w:color="auto"/>
            </w:tcBorders>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12</w:t>
            </w:r>
          </w:p>
        </w:tc>
        <w:tc>
          <w:tcPr>
            <w:tcW w:w="610" w:type="dxa"/>
            <w:tcBorders>
              <w:top w:val="nil"/>
              <w:left w:val="single" w:sz="4" w:space="0" w:color="auto"/>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13</w:t>
            </w:r>
          </w:p>
        </w:tc>
        <w:tc>
          <w:tcPr>
            <w:tcW w:w="756" w:type="dxa"/>
            <w:tcBorders>
              <w:top w:val="nil"/>
              <w:left w:val="nil"/>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14</w:t>
            </w:r>
          </w:p>
        </w:tc>
        <w:tc>
          <w:tcPr>
            <w:tcW w:w="520" w:type="dxa"/>
            <w:tcBorders>
              <w:top w:val="nil"/>
              <w:left w:val="nil"/>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15</w:t>
            </w:r>
          </w:p>
        </w:tc>
        <w:tc>
          <w:tcPr>
            <w:tcW w:w="567" w:type="dxa"/>
            <w:tcBorders>
              <w:top w:val="nil"/>
              <w:left w:val="nil"/>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16</w:t>
            </w:r>
          </w:p>
        </w:tc>
        <w:tc>
          <w:tcPr>
            <w:tcW w:w="472" w:type="dxa"/>
            <w:tcBorders>
              <w:top w:val="nil"/>
              <w:left w:val="nil"/>
              <w:bottom w:val="single" w:sz="4" w:space="0" w:color="auto"/>
              <w:right w:val="single" w:sz="4" w:space="0" w:color="auto"/>
            </w:tcBorders>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17</w:t>
            </w:r>
          </w:p>
        </w:tc>
        <w:tc>
          <w:tcPr>
            <w:tcW w:w="567" w:type="dxa"/>
            <w:tcBorders>
              <w:top w:val="nil"/>
              <w:left w:val="single" w:sz="4" w:space="0" w:color="auto"/>
              <w:bottom w:val="single" w:sz="4" w:space="0" w:color="auto"/>
              <w:right w:val="single" w:sz="4" w:space="0" w:color="auto"/>
            </w:tcBorders>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18</w:t>
            </w:r>
          </w:p>
        </w:tc>
        <w:tc>
          <w:tcPr>
            <w:tcW w:w="567" w:type="dxa"/>
            <w:tcBorders>
              <w:top w:val="nil"/>
              <w:left w:val="single" w:sz="4" w:space="0" w:color="auto"/>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19</w:t>
            </w:r>
          </w:p>
        </w:tc>
        <w:tc>
          <w:tcPr>
            <w:tcW w:w="567" w:type="dxa"/>
            <w:tcBorders>
              <w:top w:val="nil"/>
              <w:left w:val="nil"/>
              <w:bottom w:val="single" w:sz="4" w:space="0" w:color="auto"/>
              <w:right w:val="single" w:sz="4" w:space="0" w:color="auto"/>
            </w:tcBorders>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20</w:t>
            </w:r>
          </w:p>
        </w:tc>
        <w:tc>
          <w:tcPr>
            <w:tcW w:w="619" w:type="dxa"/>
            <w:tcBorders>
              <w:top w:val="nil"/>
              <w:left w:val="single" w:sz="4" w:space="0" w:color="auto"/>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21</w:t>
            </w:r>
          </w:p>
        </w:tc>
        <w:tc>
          <w:tcPr>
            <w:tcW w:w="567" w:type="dxa"/>
            <w:tcBorders>
              <w:top w:val="nil"/>
              <w:left w:val="nil"/>
              <w:bottom w:val="single" w:sz="4" w:space="0" w:color="auto"/>
              <w:right w:val="single" w:sz="4" w:space="0" w:color="auto"/>
            </w:tcBorders>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22</w:t>
            </w:r>
          </w:p>
        </w:tc>
        <w:tc>
          <w:tcPr>
            <w:tcW w:w="618" w:type="dxa"/>
            <w:gridSpan w:val="4"/>
            <w:tcBorders>
              <w:top w:val="nil"/>
              <w:left w:val="single" w:sz="4" w:space="0" w:color="auto"/>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23</w:t>
            </w:r>
          </w:p>
        </w:tc>
        <w:tc>
          <w:tcPr>
            <w:tcW w:w="567" w:type="dxa"/>
            <w:gridSpan w:val="2"/>
            <w:tcBorders>
              <w:top w:val="nil"/>
              <w:left w:val="nil"/>
              <w:bottom w:val="single" w:sz="4" w:space="0" w:color="auto"/>
              <w:right w:val="single" w:sz="4" w:space="0" w:color="auto"/>
            </w:tcBorders>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24</w:t>
            </w:r>
          </w:p>
        </w:tc>
        <w:tc>
          <w:tcPr>
            <w:tcW w:w="480" w:type="dxa"/>
            <w:gridSpan w:val="2"/>
            <w:tcBorders>
              <w:top w:val="nil"/>
              <w:left w:val="single" w:sz="4" w:space="0" w:color="auto"/>
              <w:bottom w:val="single" w:sz="4" w:space="0" w:color="auto"/>
              <w:right w:val="single" w:sz="4" w:space="0" w:color="auto"/>
            </w:tcBorders>
            <w:noWrap/>
            <w:vAlign w:val="center"/>
            <w:hideMark/>
          </w:tcPr>
          <w:p w:rsidR="00F24302" w:rsidRPr="004B7C9F" w:rsidRDefault="00F24302" w:rsidP="006B6AE0">
            <w:pPr>
              <w:spacing w:after="0" w:line="240" w:lineRule="auto"/>
              <w:jc w:val="center"/>
              <w:rPr>
                <w:rFonts w:ascii="Times New Roman" w:eastAsia="Times New Roman" w:hAnsi="Times New Roman"/>
                <w:color w:val="000000"/>
                <w:sz w:val="10"/>
                <w:szCs w:val="10"/>
                <w:lang w:val="ro-RO"/>
              </w:rPr>
            </w:pPr>
            <w:r w:rsidRPr="004B7C9F">
              <w:rPr>
                <w:rFonts w:ascii="Times New Roman" w:eastAsia="Times New Roman" w:hAnsi="Times New Roman"/>
                <w:color w:val="000000"/>
                <w:sz w:val="10"/>
                <w:szCs w:val="10"/>
                <w:lang w:val="ro-RO"/>
              </w:rPr>
              <w:t>25</w:t>
            </w: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1</w:t>
            </w: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rPr>
                <w:rFonts w:ascii="Times New Roman" w:hAnsi="Times New Roman"/>
                <w:sz w:val="14"/>
                <w:szCs w:val="14"/>
                <w:lang w:val="ro-RO"/>
              </w:rPr>
            </w:pPr>
            <w:r w:rsidRPr="00121F51">
              <w:rPr>
                <w:rFonts w:ascii="Times New Roman" w:hAnsi="Times New Roman"/>
                <w:sz w:val="14"/>
                <w:szCs w:val="14"/>
                <w:lang w:val="ro-RO"/>
              </w:rPr>
              <w:t>Or.</w:t>
            </w:r>
            <w:r>
              <w:rPr>
                <w:rFonts w:ascii="Times New Roman" w:hAnsi="Times New Roman"/>
                <w:sz w:val="14"/>
                <w:szCs w:val="14"/>
                <w:lang w:val="ro-RO"/>
              </w:rPr>
              <w:t xml:space="preserve"> </w:t>
            </w:r>
            <w:r w:rsidRPr="00121F51">
              <w:rPr>
                <w:rFonts w:ascii="Times New Roman" w:hAnsi="Times New Roman"/>
                <w:sz w:val="14"/>
                <w:szCs w:val="14"/>
                <w:lang w:val="ro-RO"/>
              </w:rPr>
              <w:t>Sîngerei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2"/>
                <w:szCs w:val="12"/>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61,1</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45,6</w:t>
            </w: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10/0,2</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-48,2</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46,4</w:t>
            </w: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11,5</w:t>
            </w: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10,5</w:t>
            </w: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53,2</w:t>
            </w: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57,9</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4,8</w:t>
            </w: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31,0</w:t>
            </w: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620,5</w:t>
            </w: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145,2</w:t>
            </w: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19,6</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da</w:t>
            </w: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2</w:t>
            </w: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rPr>
                <w:rFonts w:ascii="Times New Roman" w:hAnsi="Times New Roman"/>
                <w:sz w:val="14"/>
                <w:szCs w:val="14"/>
                <w:lang w:val="ro-RO"/>
              </w:rPr>
            </w:pPr>
            <w:r w:rsidRPr="00121F51">
              <w:rPr>
                <w:rFonts w:ascii="Times New Roman" w:hAnsi="Times New Roman"/>
                <w:sz w:val="14"/>
                <w:szCs w:val="14"/>
                <w:lang w:val="ro-RO"/>
              </w:rPr>
              <w:t>Or.</w:t>
            </w:r>
            <w:r>
              <w:rPr>
                <w:rFonts w:ascii="Times New Roman" w:hAnsi="Times New Roman"/>
                <w:sz w:val="14"/>
                <w:szCs w:val="14"/>
                <w:lang w:val="ro-RO"/>
              </w:rPr>
              <w:t xml:space="preserve"> </w:t>
            </w:r>
            <w:r w:rsidRPr="00121F51">
              <w:rPr>
                <w:rFonts w:ascii="Times New Roman" w:hAnsi="Times New Roman"/>
                <w:sz w:val="14"/>
                <w:szCs w:val="14"/>
                <w:lang w:val="ro-RO"/>
              </w:rPr>
              <w:t>Biruința</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212,8</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47,2</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da</w:t>
            </w: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3</w:t>
            </w: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rPr>
                <w:rFonts w:ascii="Times New Roman" w:hAnsi="Times New Roman"/>
                <w:sz w:val="14"/>
                <w:szCs w:val="14"/>
                <w:lang w:val="ro-RO"/>
              </w:rPr>
            </w:pPr>
            <w:r w:rsidRPr="00121F51">
              <w:rPr>
                <w:rFonts w:ascii="Times New Roman" w:hAnsi="Times New Roman"/>
                <w:sz w:val="14"/>
                <w:szCs w:val="14"/>
                <w:lang w:val="ro-RO"/>
              </w:rPr>
              <w:t>Com. Alex</w:t>
            </w:r>
            <w:r>
              <w:rPr>
                <w:rFonts w:ascii="Times New Roman" w:hAnsi="Times New Roman"/>
                <w:sz w:val="14"/>
                <w:szCs w:val="14"/>
                <w:lang w:val="ro-RO"/>
              </w:rPr>
              <w:t>ă</w:t>
            </w:r>
            <w:r w:rsidRPr="00121F51">
              <w:rPr>
                <w:rFonts w:ascii="Times New Roman" w:hAnsi="Times New Roman"/>
                <w:sz w:val="14"/>
                <w:szCs w:val="14"/>
                <w:lang w:val="ro-RO"/>
              </w:rPr>
              <w:t>ndreni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41,3</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2,4</w:t>
            </w: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10/0,8</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-13,7</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12,7</w:t>
            </w: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17,5</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14,5</w:t>
            </w: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3,4</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da</w:t>
            </w: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4</w:t>
            </w: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rPr>
                <w:rFonts w:ascii="Times New Roman" w:hAnsi="Times New Roman"/>
                <w:sz w:val="14"/>
                <w:szCs w:val="14"/>
                <w:lang w:val="ro-RO"/>
              </w:rPr>
            </w:pPr>
            <w:r w:rsidRPr="00121F51">
              <w:rPr>
                <w:rFonts w:ascii="Times New Roman" w:hAnsi="Times New Roman"/>
                <w:sz w:val="14"/>
                <w:szCs w:val="14"/>
                <w:lang w:val="ro-RO"/>
              </w:rPr>
              <w:t>Com.</w:t>
            </w:r>
            <w:r>
              <w:rPr>
                <w:rFonts w:ascii="Times New Roman" w:hAnsi="Times New Roman"/>
                <w:sz w:val="14"/>
                <w:szCs w:val="14"/>
                <w:lang w:val="ro-RO"/>
              </w:rPr>
              <w:t xml:space="preserve"> </w:t>
            </w:r>
            <w:r w:rsidRPr="00121F51">
              <w:rPr>
                <w:rFonts w:ascii="Times New Roman" w:hAnsi="Times New Roman"/>
                <w:sz w:val="14"/>
                <w:szCs w:val="14"/>
                <w:lang w:val="ro-RO"/>
              </w:rPr>
              <w:t>Bălășești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1,4</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37,3</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2,0</w:t>
            </w: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5</w:t>
            </w: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4"/>
                <w:szCs w:val="14"/>
                <w:lang w:val="ro-RO"/>
              </w:rPr>
            </w:pPr>
            <w:r w:rsidRPr="00121F51">
              <w:rPr>
                <w:rFonts w:ascii="Times New Roman" w:hAnsi="Times New Roman"/>
                <w:sz w:val="14"/>
                <w:szCs w:val="14"/>
                <w:lang w:val="ro-RO"/>
              </w:rPr>
              <w:t>Com. Bilicenii Noi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25,6</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75,2</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6</w:t>
            </w: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4"/>
                <w:szCs w:val="14"/>
                <w:lang w:val="ro-RO"/>
              </w:rPr>
            </w:pPr>
            <w:r w:rsidRPr="00121F51">
              <w:rPr>
                <w:rFonts w:ascii="Times New Roman" w:hAnsi="Times New Roman"/>
                <w:sz w:val="14"/>
                <w:szCs w:val="14"/>
                <w:lang w:val="ro-RO"/>
              </w:rPr>
              <w:t>Com. Bilicenii Vechi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44,8</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0</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7</w:t>
            </w: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4"/>
                <w:szCs w:val="14"/>
                <w:lang w:val="ro-RO"/>
              </w:rPr>
            </w:pPr>
            <w:r w:rsidRPr="00121F51">
              <w:rPr>
                <w:rFonts w:ascii="Times New Roman" w:hAnsi="Times New Roman"/>
                <w:sz w:val="14"/>
                <w:szCs w:val="14"/>
                <w:lang w:val="ro-RO"/>
              </w:rPr>
              <w:t>Com. Bursuceni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13,5</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15,9</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1,2</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8</w:t>
            </w: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4"/>
                <w:szCs w:val="14"/>
                <w:lang w:val="ro-RO"/>
              </w:rPr>
            </w:pPr>
            <w:r w:rsidRPr="00121F51">
              <w:rPr>
                <w:rFonts w:ascii="Times New Roman" w:hAnsi="Times New Roman"/>
                <w:sz w:val="14"/>
                <w:szCs w:val="14"/>
                <w:lang w:val="ro-RO"/>
              </w:rPr>
              <w:t>Com. Chi</w:t>
            </w:r>
            <w:r>
              <w:rPr>
                <w:rFonts w:ascii="Times New Roman" w:hAnsi="Times New Roman"/>
                <w:sz w:val="14"/>
                <w:szCs w:val="14"/>
                <w:lang w:val="ro-RO"/>
              </w:rPr>
              <w:t>ș</w:t>
            </w:r>
            <w:r w:rsidRPr="00121F51">
              <w:rPr>
                <w:rFonts w:ascii="Times New Roman" w:hAnsi="Times New Roman"/>
                <w:sz w:val="14"/>
                <w:szCs w:val="14"/>
                <w:lang w:val="ro-RO"/>
              </w:rPr>
              <w:t>căreni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35,6</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6,2</w:t>
            </w: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-46,1</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104,8</w:t>
            </w: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107,5</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41,3</w:t>
            </w: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50,2</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59,1</w:t>
            </w: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6,5</w:t>
            </w: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4,2</w:t>
            </w: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21,0</w:t>
            </w: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1,5</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da</w:t>
            </w: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9</w:t>
            </w: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4"/>
                <w:szCs w:val="14"/>
                <w:lang w:val="ro-RO"/>
              </w:rPr>
            </w:pPr>
            <w:r w:rsidRPr="00121F51">
              <w:rPr>
                <w:rFonts w:ascii="Times New Roman" w:hAnsi="Times New Roman"/>
                <w:sz w:val="14"/>
                <w:szCs w:val="14"/>
                <w:lang w:val="ro-RO"/>
              </w:rPr>
              <w:t>Com. Ciuciu</w:t>
            </w:r>
            <w:r>
              <w:rPr>
                <w:rFonts w:ascii="Times New Roman" w:hAnsi="Times New Roman"/>
                <w:sz w:val="14"/>
                <w:szCs w:val="14"/>
                <w:lang w:val="ro-RO"/>
              </w:rPr>
              <w:t>i</w:t>
            </w:r>
            <w:r w:rsidRPr="00121F51">
              <w:rPr>
                <w:rFonts w:ascii="Times New Roman" w:hAnsi="Times New Roman"/>
                <w:sz w:val="14"/>
                <w:szCs w:val="14"/>
                <w:lang w:val="ro-RO"/>
              </w:rPr>
              <w:t>eni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37,1</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18,6</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3,5</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10</w:t>
            </w: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4"/>
                <w:szCs w:val="14"/>
                <w:lang w:val="ro-RO"/>
              </w:rPr>
            </w:pPr>
            <w:r w:rsidRPr="00121F51">
              <w:rPr>
                <w:rFonts w:ascii="Times New Roman" w:hAnsi="Times New Roman"/>
                <w:sz w:val="14"/>
                <w:szCs w:val="14"/>
                <w:lang w:val="ro-RO"/>
              </w:rPr>
              <w:t>Com. Copăceni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41,8</w:t>
            </w: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26,5</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1,0</w:t>
            </w: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11</w:t>
            </w: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4"/>
                <w:szCs w:val="14"/>
                <w:lang w:val="ro-RO"/>
              </w:rPr>
            </w:pPr>
            <w:r w:rsidRPr="00121F51">
              <w:rPr>
                <w:rFonts w:ascii="Times New Roman" w:hAnsi="Times New Roman"/>
                <w:sz w:val="14"/>
                <w:szCs w:val="14"/>
                <w:lang w:val="ro-RO"/>
              </w:rPr>
              <w:t>Com. Co</w:t>
            </w:r>
            <w:r>
              <w:rPr>
                <w:rFonts w:ascii="Times New Roman" w:hAnsi="Times New Roman"/>
                <w:sz w:val="14"/>
                <w:szCs w:val="14"/>
                <w:lang w:val="ro-RO"/>
              </w:rPr>
              <w:t>ș</w:t>
            </w:r>
            <w:r w:rsidRPr="00121F51">
              <w:rPr>
                <w:rFonts w:ascii="Times New Roman" w:hAnsi="Times New Roman"/>
                <w:sz w:val="14"/>
                <w:szCs w:val="14"/>
                <w:lang w:val="ro-RO"/>
              </w:rPr>
              <w:t>codeni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43,4</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-10,5</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32,4</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-23,2</w:t>
            </w: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6,5</w:t>
            </w: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5,2</w:t>
            </w: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26,2</w:t>
            </w: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2,2</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nu</w:t>
            </w: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12</w:t>
            </w: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rPr>
                <w:rFonts w:ascii="Times New Roman" w:eastAsia="Times New Roman" w:hAnsi="Times New Roman"/>
                <w:color w:val="000000"/>
                <w:sz w:val="14"/>
                <w:szCs w:val="14"/>
                <w:lang w:val="ro-RO"/>
              </w:rPr>
            </w:pPr>
            <w:r w:rsidRPr="00121F51">
              <w:rPr>
                <w:rFonts w:ascii="Times New Roman" w:hAnsi="Times New Roman"/>
                <w:sz w:val="14"/>
                <w:szCs w:val="14"/>
                <w:lang w:val="ro-RO"/>
              </w:rPr>
              <w:t>Com. Cotiujenii  Mici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13,3</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0</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2,0</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13</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Com. Cubolta</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17,1</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23,8</w:t>
            </w: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-61,5</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39,9</w:t>
            </w: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12,0</w:t>
            </w: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0,4</w:t>
            </w: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1,9</w:t>
            </w: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135,7</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3,7</w:t>
            </w: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nu</w:t>
            </w: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14</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Com. Dobrogea Veche</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19,2</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40,9</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0,3</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15</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Com. Drăgăne</w:t>
            </w:r>
            <w:r>
              <w:rPr>
                <w:rFonts w:ascii="Times New Roman" w:hAnsi="Times New Roman"/>
                <w:sz w:val="14"/>
                <w:szCs w:val="14"/>
                <w:lang w:val="ro-RO"/>
              </w:rPr>
              <w:t>ș</w:t>
            </w:r>
            <w:r w:rsidRPr="00121F51">
              <w:rPr>
                <w:rFonts w:ascii="Times New Roman" w:hAnsi="Times New Roman"/>
                <w:sz w:val="14"/>
                <w:szCs w:val="14"/>
                <w:lang w:val="ro-RO"/>
              </w:rPr>
              <w:t>ti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71,7</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0,8</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4,0</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16</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Com. Dumbrăvi</w:t>
            </w:r>
            <w:r>
              <w:rPr>
                <w:rFonts w:ascii="Times New Roman" w:hAnsi="Times New Roman"/>
                <w:sz w:val="14"/>
                <w:szCs w:val="14"/>
                <w:lang w:val="ro-RO"/>
              </w:rPr>
              <w:t>ț</w:t>
            </w:r>
            <w:r w:rsidRPr="00121F51">
              <w:rPr>
                <w:rFonts w:ascii="Times New Roman" w:hAnsi="Times New Roman"/>
                <w:sz w:val="14"/>
                <w:szCs w:val="14"/>
                <w:lang w:val="ro-RO"/>
              </w:rPr>
              <w:t>a</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30,3</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28,5</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2,4</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17</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Com. Grigorăuca</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122,5</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2,5</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6,0</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18</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Com. Heciul Nou</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30,3</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17,3</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3,0</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19</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Com. Iezărenii Vechi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7,8</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15,9</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2,2</w:t>
            </w: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20</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Com. Izvoare</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73</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2,7</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2,0</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21</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Com. Pepeni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32,5</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2,2</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0,5</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22</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Com. Prepeli</w:t>
            </w:r>
            <w:r>
              <w:rPr>
                <w:rFonts w:ascii="Times New Roman" w:hAnsi="Times New Roman"/>
                <w:sz w:val="14"/>
                <w:szCs w:val="14"/>
                <w:lang w:val="ro-RO"/>
              </w:rPr>
              <w:t>ț</w:t>
            </w:r>
            <w:r w:rsidRPr="00121F51">
              <w:rPr>
                <w:rFonts w:ascii="Times New Roman" w:hAnsi="Times New Roman"/>
                <w:sz w:val="14"/>
                <w:szCs w:val="14"/>
                <w:lang w:val="ro-RO"/>
              </w:rPr>
              <w:t>a</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5,9</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11,7</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23</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Sat. Rădoaia</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96,1</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12/0,5</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-30,9</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67,0</w:t>
            </w: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2,4</w:t>
            </w: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12,2</w:t>
            </w: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82,8</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52,8</w:t>
            </w: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4,5</w:t>
            </w: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32</w:t>
            </w: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31</w:t>
            </w: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155</w:t>
            </w: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2,65</w:t>
            </w: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6,5</w:t>
            </w: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326,7</w:t>
            </w: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1,0</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da</w:t>
            </w: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24</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Com. Sîngereii Noi</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4,2</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15/0,9</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13</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0</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6,0</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da</w:t>
            </w: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25</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Com. Tăura Veche</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8,4</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15,3</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2,5</w:t>
            </w: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26</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eastAsia="Times New Roman" w:hAnsi="Times New Roman"/>
                <w:color w:val="000000"/>
                <w:sz w:val="14"/>
                <w:szCs w:val="14"/>
                <w:lang w:val="ro-RO"/>
              </w:rPr>
            </w:pPr>
            <w:r w:rsidRPr="00121F51">
              <w:rPr>
                <w:rFonts w:ascii="Times New Roman" w:hAnsi="Times New Roman"/>
                <w:sz w:val="14"/>
                <w:szCs w:val="14"/>
                <w:lang w:val="ro-RO"/>
              </w:rPr>
              <w:t xml:space="preserve">Com. </w:t>
            </w:r>
            <w:r>
              <w:rPr>
                <w:rFonts w:ascii="Times New Roman" w:hAnsi="Times New Roman"/>
                <w:sz w:val="14"/>
                <w:szCs w:val="14"/>
                <w:lang w:val="ro-RO"/>
              </w:rPr>
              <w:t>Ț</w:t>
            </w:r>
            <w:r w:rsidRPr="00121F51">
              <w:rPr>
                <w:rFonts w:ascii="Times New Roman" w:hAnsi="Times New Roman"/>
                <w:sz w:val="14"/>
                <w:szCs w:val="14"/>
                <w:lang w:val="ro-RO"/>
              </w:rPr>
              <w:t>ambula</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13,5</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0</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2,5</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F24302" w:rsidRPr="00121F51" w:rsidRDefault="00F24302" w:rsidP="006B6AE0">
            <w:pPr>
              <w:spacing w:after="0" w:line="240" w:lineRule="auto"/>
              <w:ind w:left="-32"/>
              <w:jc w:val="center"/>
              <w:rPr>
                <w:rFonts w:ascii="Times New Roman" w:eastAsia="Times New Roman" w:hAnsi="Times New Roman"/>
                <w:color w:val="000000"/>
                <w:sz w:val="16"/>
                <w:szCs w:val="16"/>
                <w:lang w:val="ro-RO" w:eastAsia="ru-RU"/>
              </w:rPr>
            </w:pPr>
            <w:r w:rsidRPr="00121F51">
              <w:rPr>
                <w:rFonts w:ascii="Times New Roman" w:eastAsia="Times New Roman" w:hAnsi="Times New Roman"/>
                <w:color w:val="000000"/>
                <w:sz w:val="16"/>
                <w:szCs w:val="16"/>
                <w:lang w:val="ro-RO" w:eastAsia="ru-RU"/>
              </w:rPr>
              <w:t>27</w:t>
            </w:r>
          </w:p>
        </w:tc>
        <w:tc>
          <w:tcPr>
            <w:tcW w:w="1523" w:type="dxa"/>
            <w:tcBorders>
              <w:top w:val="nil"/>
              <w:left w:val="nil"/>
              <w:bottom w:val="single" w:sz="4" w:space="0" w:color="auto"/>
              <w:right w:val="single" w:sz="4" w:space="0" w:color="auto"/>
            </w:tcBorders>
            <w:noWrap/>
            <w:vAlign w:val="bottom"/>
          </w:tcPr>
          <w:p w:rsidR="00F24302" w:rsidRPr="00121F51" w:rsidRDefault="00F24302" w:rsidP="006B6AE0">
            <w:pPr>
              <w:spacing w:after="0" w:line="240" w:lineRule="auto"/>
              <w:ind w:left="-32" w:right="-137"/>
              <w:rPr>
                <w:rFonts w:ascii="Times New Roman" w:hAnsi="Times New Roman"/>
                <w:sz w:val="14"/>
                <w:szCs w:val="14"/>
                <w:lang w:val="ro-RO"/>
              </w:rPr>
            </w:pPr>
            <w:r w:rsidRPr="00121F51">
              <w:rPr>
                <w:rFonts w:ascii="Times New Roman" w:hAnsi="Times New Roman"/>
                <w:sz w:val="14"/>
                <w:szCs w:val="14"/>
                <w:lang w:val="ro-RO"/>
              </w:rPr>
              <w:t>CR</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110,1</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886,8</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color w:val="000000"/>
                <w:sz w:val="14"/>
                <w:szCs w:val="16"/>
                <w:lang w:val="ro-RO"/>
              </w:rPr>
            </w:pP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r w:rsidRPr="00121F51">
              <w:rPr>
                <w:rFonts w:ascii="Times New Roman" w:eastAsia="Times New Roman" w:hAnsi="Times New Roman"/>
                <w:color w:val="000000"/>
                <w:sz w:val="14"/>
                <w:szCs w:val="16"/>
                <w:lang w:val="ro-RO"/>
              </w:rPr>
              <w:t>0</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color w:val="000000"/>
                <w:sz w:val="14"/>
                <w:szCs w:val="16"/>
                <w:lang w:val="ro-RO"/>
              </w:rPr>
            </w:pP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color w:val="000000"/>
                <w:sz w:val="14"/>
                <w:szCs w:val="16"/>
                <w:lang w:val="ro-RO"/>
              </w:rPr>
            </w:pP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right"/>
              <w:rPr>
                <w:rFonts w:ascii="Times New Roman" w:eastAsia="Times New Roman" w:hAnsi="Times New Roman"/>
                <w:color w:val="000000"/>
                <w:sz w:val="14"/>
                <w:szCs w:val="16"/>
                <w:lang w:val="ro-RO"/>
              </w:rPr>
            </w:pPr>
          </w:p>
        </w:tc>
      </w:tr>
      <w:tr w:rsidR="00F24302" w:rsidRPr="00121F51" w:rsidTr="006B6AE0">
        <w:trPr>
          <w:gridAfter w:val="1"/>
          <w:wAfter w:w="7" w:type="dxa"/>
        </w:trPr>
        <w:tc>
          <w:tcPr>
            <w:tcW w:w="41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ind w:left="-32"/>
              <w:jc w:val="center"/>
              <w:rPr>
                <w:rFonts w:ascii="Times New Roman" w:eastAsia="Times New Roman" w:hAnsi="Times New Roman"/>
                <w:b/>
                <w:color w:val="000000"/>
                <w:sz w:val="16"/>
                <w:szCs w:val="16"/>
                <w:lang w:val="ro-RO" w:eastAsia="ru-RU"/>
              </w:rPr>
            </w:pPr>
          </w:p>
        </w:tc>
        <w:tc>
          <w:tcPr>
            <w:tcW w:w="1523"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32" w:right="-137"/>
              <w:rPr>
                <w:rFonts w:ascii="Times New Roman" w:hAnsi="Times New Roman"/>
                <w:b/>
                <w:sz w:val="12"/>
                <w:szCs w:val="12"/>
                <w:lang w:val="ro-RO"/>
              </w:rPr>
            </w:pPr>
            <w:r w:rsidRPr="00121F51">
              <w:rPr>
                <w:rFonts w:ascii="Times New Roman" w:hAnsi="Times New Roman"/>
                <w:b/>
                <w:sz w:val="12"/>
                <w:szCs w:val="12"/>
                <w:lang w:val="ro-RO"/>
              </w:rPr>
              <w:t>Total</w:t>
            </w:r>
          </w:p>
        </w:tc>
        <w:tc>
          <w:tcPr>
            <w:tcW w:w="56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434,0</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780,3</w:t>
            </w:r>
          </w:p>
        </w:tc>
        <w:tc>
          <w:tcPr>
            <w:tcW w:w="609"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886,8</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78,0</w:t>
            </w:r>
          </w:p>
        </w:tc>
        <w:tc>
          <w:tcPr>
            <w:tcW w:w="615"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47/2,4</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57"/>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13,0/-210,9</w:t>
            </w:r>
          </w:p>
        </w:tc>
        <w:tc>
          <w:tcPr>
            <w:tcW w:w="661"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270,8</w:t>
            </w:r>
          </w:p>
        </w:tc>
        <w:tc>
          <w:tcPr>
            <w:tcW w:w="614"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23,5</w:t>
            </w: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13,3</w:t>
            </w: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67,3</w:t>
            </w:r>
          </w:p>
        </w:tc>
        <w:tc>
          <w:tcPr>
            <w:tcW w:w="610"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792,3</w:t>
            </w:r>
          </w:p>
        </w:tc>
        <w:tc>
          <w:tcPr>
            <w:tcW w:w="756" w:type="dxa"/>
            <w:tcBorders>
              <w:top w:val="nil"/>
              <w:left w:val="nil"/>
              <w:bottom w:val="single" w:sz="4" w:space="0" w:color="auto"/>
              <w:right w:val="single" w:sz="4" w:space="0" w:color="auto"/>
            </w:tcBorders>
            <w:noWrap/>
          </w:tcPr>
          <w:p w:rsidR="00F24302" w:rsidRPr="00121F51" w:rsidRDefault="00F24302" w:rsidP="006B6AE0">
            <w:pPr>
              <w:spacing w:after="0" w:line="240" w:lineRule="auto"/>
              <w:ind w:left="-108"/>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-23,2/108,6</w:t>
            </w:r>
          </w:p>
        </w:tc>
        <w:tc>
          <w:tcPr>
            <w:tcW w:w="520"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50,2</w:t>
            </w:r>
          </w:p>
        </w:tc>
        <w:tc>
          <w:tcPr>
            <w:tcW w:w="567" w:type="dxa"/>
            <w:tcBorders>
              <w:top w:val="nil"/>
              <w:left w:val="nil"/>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63,6</w:t>
            </w:r>
          </w:p>
        </w:tc>
        <w:tc>
          <w:tcPr>
            <w:tcW w:w="472"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45</w:t>
            </w:r>
          </w:p>
        </w:tc>
        <w:tc>
          <w:tcPr>
            <w:tcW w:w="567" w:type="dxa"/>
            <w:tcBorders>
              <w:top w:val="nil"/>
              <w:left w:val="single" w:sz="4" w:space="0" w:color="auto"/>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40,4</w:t>
            </w:r>
          </w:p>
        </w:tc>
        <w:tc>
          <w:tcPr>
            <w:tcW w:w="567"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202,2</w:t>
            </w: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7,45</w:t>
            </w:r>
          </w:p>
        </w:tc>
        <w:tc>
          <w:tcPr>
            <w:tcW w:w="619" w:type="dxa"/>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37,5</w:t>
            </w:r>
          </w:p>
        </w:tc>
        <w:tc>
          <w:tcPr>
            <w:tcW w:w="567" w:type="dxa"/>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947,2</w:t>
            </w:r>
          </w:p>
        </w:tc>
        <w:tc>
          <w:tcPr>
            <w:tcW w:w="618" w:type="dxa"/>
            <w:gridSpan w:val="4"/>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156,6</w:t>
            </w:r>
          </w:p>
        </w:tc>
        <w:tc>
          <w:tcPr>
            <w:tcW w:w="567" w:type="dxa"/>
            <w:gridSpan w:val="2"/>
            <w:tcBorders>
              <w:top w:val="nil"/>
              <w:left w:val="nil"/>
              <w:bottom w:val="single" w:sz="4" w:space="0" w:color="auto"/>
              <w:right w:val="single" w:sz="4" w:space="0" w:color="auto"/>
            </w:tcBorders>
          </w:tcPr>
          <w:p w:rsidR="00F24302" w:rsidRPr="00121F51" w:rsidRDefault="00F24302" w:rsidP="006B6AE0">
            <w:pPr>
              <w:spacing w:after="0" w:line="240" w:lineRule="auto"/>
              <w:jc w:val="center"/>
              <w:rPr>
                <w:rFonts w:ascii="Times New Roman" w:eastAsia="Times New Roman" w:hAnsi="Times New Roman"/>
                <w:b/>
                <w:color w:val="000000"/>
                <w:sz w:val="12"/>
                <w:szCs w:val="12"/>
                <w:lang w:val="ro-RO"/>
              </w:rPr>
            </w:pPr>
            <w:r w:rsidRPr="00121F51">
              <w:rPr>
                <w:rFonts w:ascii="Times New Roman" w:eastAsia="Times New Roman" w:hAnsi="Times New Roman"/>
                <w:b/>
                <w:color w:val="000000"/>
                <w:sz w:val="12"/>
                <w:szCs w:val="12"/>
                <w:lang w:val="ro-RO"/>
              </w:rPr>
              <w:t>61,1</w:t>
            </w:r>
          </w:p>
        </w:tc>
        <w:tc>
          <w:tcPr>
            <w:tcW w:w="480" w:type="dxa"/>
            <w:gridSpan w:val="2"/>
            <w:tcBorders>
              <w:top w:val="nil"/>
              <w:left w:val="single" w:sz="4" w:space="0" w:color="auto"/>
              <w:bottom w:val="single" w:sz="4" w:space="0" w:color="auto"/>
              <w:right w:val="single" w:sz="4" w:space="0" w:color="auto"/>
            </w:tcBorders>
            <w:noWrap/>
          </w:tcPr>
          <w:p w:rsidR="00F24302" w:rsidRPr="00121F51" w:rsidRDefault="00F24302" w:rsidP="006B6AE0">
            <w:pPr>
              <w:spacing w:after="0" w:line="240" w:lineRule="auto"/>
              <w:jc w:val="right"/>
              <w:rPr>
                <w:rFonts w:ascii="Times New Roman" w:eastAsia="Times New Roman" w:hAnsi="Times New Roman"/>
                <w:b/>
                <w:color w:val="000000"/>
                <w:sz w:val="12"/>
                <w:szCs w:val="12"/>
                <w:lang w:val="ro-RO"/>
              </w:rPr>
            </w:pPr>
          </w:p>
        </w:tc>
      </w:tr>
    </w:tbl>
    <w:p w:rsidR="00F24302" w:rsidRPr="00121F51" w:rsidRDefault="00F24302" w:rsidP="00F24302">
      <w:pPr>
        <w:spacing w:after="120" w:line="240" w:lineRule="auto"/>
        <w:rPr>
          <w:rFonts w:ascii="Times New Roman" w:hAnsi="Times New Roman"/>
          <w:i/>
          <w:sz w:val="20"/>
          <w:szCs w:val="20"/>
          <w:lang w:val="ro-RO"/>
        </w:rPr>
        <w:sectPr w:rsidR="00F24302" w:rsidRPr="00121F51" w:rsidSect="00CB59F0">
          <w:pgSz w:w="16838" w:h="11906" w:orient="landscape"/>
          <w:pgMar w:top="709" w:right="1134" w:bottom="851" w:left="1134" w:header="709" w:footer="709" w:gutter="0"/>
          <w:cols w:space="708"/>
          <w:docGrid w:linePitch="360"/>
        </w:sectPr>
      </w:pPr>
    </w:p>
    <w:p w:rsidR="00F24302" w:rsidRPr="006B39E3" w:rsidRDefault="00F24302" w:rsidP="00F24302">
      <w:pPr>
        <w:spacing w:after="0" w:line="240" w:lineRule="auto"/>
        <w:jc w:val="right"/>
        <w:rPr>
          <w:rFonts w:ascii="Times New Roman" w:eastAsia="Times New Roman" w:hAnsi="Times New Roman"/>
          <w:b/>
          <w:sz w:val="24"/>
          <w:szCs w:val="24"/>
          <w:lang w:val="ro-RO"/>
        </w:rPr>
      </w:pPr>
      <w:r w:rsidRPr="006B39E3">
        <w:rPr>
          <w:rFonts w:ascii="Times New Roman" w:eastAsia="Times New Roman" w:hAnsi="Times New Roman"/>
          <w:b/>
          <w:sz w:val="24"/>
          <w:szCs w:val="24"/>
          <w:lang w:val="ro-RO"/>
        </w:rPr>
        <w:lastRenderedPageBreak/>
        <w:t>Anexa nr.8</w:t>
      </w:r>
    </w:p>
    <w:p w:rsidR="00F24302" w:rsidRPr="006B39E3" w:rsidRDefault="00F24302" w:rsidP="00F24302">
      <w:pPr>
        <w:spacing w:after="0" w:line="240" w:lineRule="auto"/>
        <w:jc w:val="center"/>
        <w:rPr>
          <w:rFonts w:ascii="Times New Roman" w:eastAsia="Times New Roman" w:hAnsi="Times New Roman"/>
          <w:b/>
          <w:sz w:val="24"/>
          <w:szCs w:val="24"/>
          <w:lang w:val="ro-RO"/>
        </w:rPr>
      </w:pPr>
      <w:r w:rsidRPr="006B39E3">
        <w:rPr>
          <w:rFonts w:ascii="Times New Roman" w:eastAsia="Times New Roman" w:hAnsi="Times New Roman"/>
          <w:b/>
          <w:sz w:val="24"/>
          <w:szCs w:val="24"/>
          <w:lang w:val="ro-RO"/>
        </w:rPr>
        <w:t xml:space="preserve">Generalizarea deficiențelor constatate la Obiectivul II din Raportul de audit </w:t>
      </w:r>
    </w:p>
    <w:p w:rsidR="00F24302" w:rsidRPr="006B39E3" w:rsidRDefault="00F24302" w:rsidP="00F24302">
      <w:pPr>
        <w:spacing w:after="0" w:line="240" w:lineRule="auto"/>
        <w:jc w:val="center"/>
        <w:rPr>
          <w:rFonts w:ascii="Times New Roman" w:eastAsia="Times New Roman" w:hAnsi="Times New Roman"/>
          <w:b/>
          <w:sz w:val="24"/>
          <w:szCs w:val="24"/>
          <w:lang w:val="ro-RO"/>
        </w:rPr>
      </w:pPr>
      <w:r w:rsidRPr="006B39E3">
        <w:rPr>
          <w:rFonts w:ascii="Times New Roman" w:eastAsia="Times New Roman" w:hAnsi="Times New Roman"/>
          <w:b/>
          <w:sz w:val="24"/>
          <w:szCs w:val="24"/>
          <w:lang w:val="ro-RO"/>
        </w:rPr>
        <w:t>(aprobarea fondului de salarizare și retribuirea muncii)</w:t>
      </w:r>
    </w:p>
    <w:p w:rsidR="00F24302" w:rsidRPr="00121F51" w:rsidRDefault="00F24302" w:rsidP="00F24302">
      <w:pPr>
        <w:spacing w:after="0" w:line="240" w:lineRule="auto"/>
        <w:jc w:val="center"/>
        <w:rPr>
          <w:rFonts w:ascii="Times New Roman" w:eastAsia="Times New Roman" w:hAnsi="Times New Roman"/>
          <w:b/>
          <w:sz w:val="20"/>
          <w:szCs w:val="20"/>
          <w:lang w:val="ro-RO"/>
        </w:rPr>
      </w:pPr>
    </w:p>
    <w:p w:rsidR="00F24302" w:rsidRPr="003F09F4" w:rsidRDefault="00F24302" w:rsidP="00F24302">
      <w:pPr>
        <w:spacing w:after="0" w:line="240" w:lineRule="auto"/>
        <w:jc w:val="right"/>
        <w:rPr>
          <w:rFonts w:ascii="Times New Roman" w:hAnsi="Times New Roman"/>
          <w:i/>
          <w:sz w:val="20"/>
          <w:szCs w:val="20"/>
          <w:lang w:val="ro-RO"/>
        </w:rPr>
      </w:pPr>
      <w:r w:rsidRPr="003F09F4">
        <w:rPr>
          <w:rFonts w:ascii="Times New Roman" w:hAnsi="Times New Roman"/>
          <w:i/>
          <w:sz w:val="20"/>
          <w:szCs w:val="20"/>
          <w:lang w:val="ro-RO"/>
        </w:rPr>
        <w:t>(mii lei)</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51"/>
        <w:gridCol w:w="1417"/>
        <w:gridCol w:w="1985"/>
        <w:gridCol w:w="2693"/>
        <w:gridCol w:w="850"/>
        <w:gridCol w:w="1276"/>
        <w:gridCol w:w="851"/>
        <w:gridCol w:w="1275"/>
      </w:tblGrid>
      <w:tr w:rsidR="00F24302" w:rsidRPr="003D14BB" w:rsidTr="006B6AE0">
        <w:trPr>
          <w:trHeight w:val="20"/>
        </w:trPr>
        <w:tc>
          <w:tcPr>
            <w:tcW w:w="3402" w:type="dxa"/>
            <w:vMerge w:val="restart"/>
            <w:hideMark/>
          </w:tcPr>
          <w:p w:rsidR="00F24302" w:rsidRPr="00E4283E" w:rsidRDefault="00F24302" w:rsidP="006B6AE0">
            <w:pPr>
              <w:spacing w:after="0" w:line="240" w:lineRule="auto"/>
              <w:jc w:val="center"/>
              <w:rPr>
                <w:rFonts w:ascii="Times New Roman" w:eastAsia="Times New Roman" w:hAnsi="Times New Roman"/>
                <w:b/>
                <w:bCs/>
                <w:sz w:val="20"/>
                <w:szCs w:val="20"/>
                <w:lang w:val="ro-RO" w:eastAsia="ru-RU"/>
              </w:rPr>
            </w:pPr>
          </w:p>
          <w:p w:rsidR="00F24302" w:rsidRPr="00E4283E" w:rsidRDefault="00F24302" w:rsidP="006B6AE0">
            <w:pPr>
              <w:spacing w:after="0" w:line="240" w:lineRule="auto"/>
              <w:jc w:val="center"/>
              <w:rPr>
                <w:rFonts w:ascii="Times New Roman" w:eastAsia="Times New Roman" w:hAnsi="Times New Roman"/>
                <w:b/>
                <w:bCs/>
                <w:sz w:val="20"/>
                <w:szCs w:val="20"/>
                <w:lang w:val="ro-RO" w:eastAsia="ru-RU"/>
              </w:rPr>
            </w:pPr>
          </w:p>
          <w:p w:rsidR="00F24302" w:rsidRPr="00E4283E" w:rsidRDefault="00F24302" w:rsidP="006B6AE0">
            <w:pPr>
              <w:spacing w:after="0" w:line="240" w:lineRule="auto"/>
              <w:jc w:val="center"/>
              <w:rPr>
                <w:rFonts w:ascii="Times New Roman" w:eastAsia="Times New Roman" w:hAnsi="Times New Roman"/>
                <w:b/>
                <w:bCs/>
                <w:sz w:val="20"/>
                <w:szCs w:val="20"/>
                <w:lang w:val="ro-RO" w:eastAsia="ru-RU"/>
              </w:rPr>
            </w:pPr>
            <w:r w:rsidRPr="00E4283E">
              <w:rPr>
                <w:rFonts w:ascii="Times New Roman" w:eastAsia="Times New Roman" w:hAnsi="Times New Roman"/>
                <w:b/>
                <w:bCs/>
                <w:sz w:val="20"/>
                <w:szCs w:val="20"/>
                <w:lang w:val="ro-RO" w:eastAsia="ru-RU"/>
              </w:rPr>
              <w:t xml:space="preserve">AAPL, </w:t>
            </w:r>
          </w:p>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bCs/>
                <w:sz w:val="20"/>
                <w:szCs w:val="20"/>
                <w:lang w:val="ro-RO" w:eastAsia="ru-RU"/>
              </w:rPr>
              <w:t>entitatea subordonată AAPL</w:t>
            </w:r>
          </w:p>
        </w:tc>
        <w:tc>
          <w:tcPr>
            <w:tcW w:w="2268" w:type="dxa"/>
            <w:gridSpan w:val="2"/>
          </w:tcPr>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Planificarea incorectă: gradul/treapta de salarizare, sporul pentru gradul de calificare pentru funcțiile vacante și personalul angajat; premiul anual pentru personalul de deservire</w:t>
            </w:r>
          </w:p>
        </w:tc>
        <w:tc>
          <w:tcPr>
            <w:tcW w:w="4678" w:type="dxa"/>
            <w:gridSpan w:val="2"/>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ru-RU"/>
              </w:rPr>
            </w:pPr>
            <w:r w:rsidRPr="00E4283E">
              <w:rPr>
                <w:rFonts w:ascii="Times New Roman" w:eastAsia="Times New Roman" w:hAnsi="Times New Roman"/>
                <w:b/>
                <w:color w:val="000000"/>
                <w:sz w:val="20"/>
                <w:szCs w:val="20"/>
                <w:lang w:val="ro-RO" w:eastAsia="ru-RU"/>
              </w:rPr>
              <w:t>Plățile salariale calculate și achitate neregulamentar: accesul la secretul de stat; premiul unic; suplimentul pentru cumulul funcției; sporul pentru performanță colectivă; premiul anual și cel lunar pentru personalul de deservire; plata pentru munca suplimentară; indemnizația pentru participare la ședințele consiliului local; indemnizația unică pentru funcționarul public la demisie (primar); remunerarea pentru acte notariale; sporul pentru gradul de calificare</w:t>
            </w:r>
          </w:p>
        </w:tc>
        <w:tc>
          <w:tcPr>
            <w:tcW w:w="2126" w:type="dxa"/>
            <w:gridSpan w:val="2"/>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ru-RU"/>
              </w:rPr>
            </w:pPr>
            <w:r w:rsidRPr="00E4283E">
              <w:rPr>
                <w:rFonts w:ascii="Times New Roman" w:eastAsia="Times New Roman" w:hAnsi="Times New Roman"/>
                <w:b/>
                <w:color w:val="000000"/>
                <w:sz w:val="20"/>
                <w:szCs w:val="20"/>
                <w:lang w:val="ro-RO" w:eastAsia="ru-RU"/>
              </w:rPr>
              <w:t>Premiul anual persoanelor de demnitate publică și funcționarilor publici din veniturile obținute suplimentar la cele aprobate (rectificate)</w:t>
            </w:r>
          </w:p>
        </w:tc>
        <w:tc>
          <w:tcPr>
            <w:tcW w:w="2126" w:type="dxa"/>
            <w:gridSpan w:val="2"/>
          </w:tcPr>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p>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Indemnizația unică la expirarea mandatului alesului local</w:t>
            </w:r>
          </w:p>
        </w:tc>
      </w:tr>
      <w:tr w:rsidR="00F24302" w:rsidRPr="00121F51" w:rsidTr="006B6AE0">
        <w:trPr>
          <w:trHeight w:val="20"/>
        </w:trPr>
        <w:tc>
          <w:tcPr>
            <w:tcW w:w="3402" w:type="dxa"/>
            <w:vMerge/>
            <w:hideMark/>
          </w:tcPr>
          <w:p w:rsidR="00F24302" w:rsidRPr="00E4283E" w:rsidRDefault="00F24302" w:rsidP="006B6AE0">
            <w:pPr>
              <w:spacing w:after="0" w:line="240" w:lineRule="auto"/>
              <w:rPr>
                <w:rFonts w:ascii="Times New Roman" w:eastAsia="Times New Roman" w:hAnsi="Times New Roman"/>
                <w:b/>
                <w:sz w:val="20"/>
                <w:szCs w:val="20"/>
                <w:lang w:val="ro-RO" w:eastAsia="ru-RU"/>
              </w:rPr>
            </w:pPr>
          </w:p>
        </w:tc>
        <w:tc>
          <w:tcPr>
            <w:tcW w:w="851" w:type="dxa"/>
          </w:tcPr>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nr. de funcții</w:t>
            </w:r>
          </w:p>
        </w:tc>
        <w:tc>
          <w:tcPr>
            <w:tcW w:w="1417" w:type="dxa"/>
            <w:hideMark/>
          </w:tcPr>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suma</w:t>
            </w:r>
          </w:p>
        </w:tc>
        <w:tc>
          <w:tcPr>
            <w:tcW w:w="1985" w:type="dxa"/>
          </w:tcPr>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nr. de funcții</w:t>
            </w:r>
          </w:p>
        </w:tc>
        <w:tc>
          <w:tcPr>
            <w:tcW w:w="2693" w:type="dxa"/>
          </w:tcPr>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suma</w:t>
            </w:r>
          </w:p>
        </w:tc>
        <w:tc>
          <w:tcPr>
            <w:tcW w:w="850" w:type="dxa"/>
          </w:tcPr>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nr. de funcții</w:t>
            </w:r>
          </w:p>
        </w:tc>
        <w:tc>
          <w:tcPr>
            <w:tcW w:w="1276" w:type="dxa"/>
          </w:tcPr>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suma</w:t>
            </w:r>
          </w:p>
        </w:tc>
        <w:tc>
          <w:tcPr>
            <w:tcW w:w="851" w:type="dxa"/>
          </w:tcPr>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nr. de funcții</w:t>
            </w:r>
          </w:p>
        </w:tc>
        <w:tc>
          <w:tcPr>
            <w:tcW w:w="1275" w:type="dxa"/>
          </w:tcPr>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suma</w:t>
            </w:r>
          </w:p>
        </w:tc>
      </w:tr>
      <w:tr w:rsidR="00F24302" w:rsidRPr="00121F51" w:rsidTr="006B6AE0">
        <w:trPr>
          <w:trHeight w:val="20"/>
        </w:trPr>
        <w:tc>
          <w:tcPr>
            <w:tcW w:w="3402" w:type="dxa"/>
            <w:hideMark/>
          </w:tcPr>
          <w:p w:rsidR="00F24302" w:rsidRPr="00E4283E" w:rsidRDefault="00F24302" w:rsidP="006B6AE0">
            <w:pPr>
              <w:spacing w:after="0" w:line="240" w:lineRule="auto"/>
              <w:jc w:val="center"/>
              <w:rPr>
                <w:rFonts w:ascii="Times New Roman" w:eastAsia="Times New Roman" w:hAnsi="Times New Roman"/>
                <w:sz w:val="12"/>
                <w:szCs w:val="12"/>
                <w:lang w:val="ro-RO" w:eastAsia="ru-RU"/>
              </w:rPr>
            </w:pPr>
            <w:r w:rsidRPr="00E4283E">
              <w:rPr>
                <w:rFonts w:ascii="Times New Roman" w:eastAsia="Times New Roman" w:hAnsi="Times New Roman"/>
                <w:sz w:val="12"/>
                <w:szCs w:val="12"/>
                <w:lang w:val="ro-RO" w:eastAsia="ru-RU"/>
              </w:rPr>
              <w:t>1</w:t>
            </w:r>
          </w:p>
        </w:tc>
        <w:tc>
          <w:tcPr>
            <w:tcW w:w="851" w:type="dxa"/>
            <w:vAlign w:val="center"/>
          </w:tcPr>
          <w:p w:rsidR="00F24302" w:rsidRPr="00E4283E" w:rsidRDefault="00F24302" w:rsidP="006B6AE0">
            <w:pPr>
              <w:spacing w:after="0" w:line="240" w:lineRule="auto"/>
              <w:jc w:val="center"/>
              <w:rPr>
                <w:rFonts w:ascii="Times New Roman" w:eastAsia="Times New Roman" w:hAnsi="Times New Roman"/>
                <w:sz w:val="12"/>
                <w:szCs w:val="12"/>
                <w:lang w:val="ro-RO" w:eastAsia="ru-RU"/>
              </w:rPr>
            </w:pPr>
            <w:r w:rsidRPr="00E4283E">
              <w:rPr>
                <w:rFonts w:ascii="Times New Roman" w:eastAsia="Times New Roman" w:hAnsi="Times New Roman"/>
                <w:sz w:val="12"/>
                <w:szCs w:val="12"/>
                <w:lang w:val="ro-RO" w:eastAsia="ru-RU"/>
              </w:rPr>
              <w:t>2</w:t>
            </w:r>
          </w:p>
        </w:tc>
        <w:tc>
          <w:tcPr>
            <w:tcW w:w="1417" w:type="dxa"/>
            <w:vAlign w:val="center"/>
            <w:hideMark/>
          </w:tcPr>
          <w:p w:rsidR="00F24302" w:rsidRPr="00E4283E" w:rsidRDefault="00F24302" w:rsidP="006B6AE0">
            <w:pPr>
              <w:spacing w:after="0" w:line="240" w:lineRule="auto"/>
              <w:jc w:val="center"/>
              <w:rPr>
                <w:rFonts w:ascii="Times New Roman" w:eastAsia="Times New Roman" w:hAnsi="Times New Roman"/>
                <w:sz w:val="12"/>
                <w:szCs w:val="12"/>
                <w:lang w:val="ro-RO" w:eastAsia="ru-RU"/>
              </w:rPr>
            </w:pPr>
            <w:r w:rsidRPr="00E4283E">
              <w:rPr>
                <w:rFonts w:ascii="Times New Roman" w:eastAsia="Times New Roman" w:hAnsi="Times New Roman"/>
                <w:sz w:val="12"/>
                <w:szCs w:val="12"/>
                <w:lang w:val="ro-RO" w:eastAsia="ru-RU"/>
              </w:rPr>
              <w:t>3</w:t>
            </w:r>
          </w:p>
        </w:tc>
        <w:tc>
          <w:tcPr>
            <w:tcW w:w="1985" w:type="dxa"/>
            <w:noWrap/>
            <w:vAlign w:val="center"/>
          </w:tcPr>
          <w:p w:rsidR="00F24302" w:rsidRPr="00E4283E" w:rsidRDefault="00F24302" w:rsidP="006B6AE0">
            <w:pPr>
              <w:spacing w:after="0" w:line="240" w:lineRule="auto"/>
              <w:jc w:val="center"/>
              <w:rPr>
                <w:rFonts w:ascii="Times New Roman" w:eastAsia="Times New Roman" w:hAnsi="Times New Roman"/>
                <w:color w:val="000000"/>
                <w:sz w:val="12"/>
                <w:szCs w:val="12"/>
                <w:lang w:val="ro-RO" w:eastAsia="ru-RU"/>
              </w:rPr>
            </w:pPr>
            <w:r w:rsidRPr="00E4283E">
              <w:rPr>
                <w:rFonts w:ascii="Times New Roman" w:eastAsia="Times New Roman" w:hAnsi="Times New Roman"/>
                <w:color w:val="000000"/>
                <w:sz w:val="12"/>
                <w:szCs w:val="12"/>
                <w:lang w:val="ro-RO" w:eastAsia="ru-RU"/>
              </w:rPr>
              <w:t>4</w:t>
            </w:r>
          </w:p>
        </w:tc>
        <w:tc>
          <w:tcPr>
            <w:tcW w:w="2693" w:type="dxa"/>
            <w:noWrap/>
            <w:vAlign w:val="center"/>
          </w:tcPr>
          <w:p w:rsidR="00F24302" w:rsidRPr="00E4283E" w:rsidRDefault="00F24302" w:rsidP="006B6AE0">
            <w:pPr>
              <w:spacing w:after="0" w:line="240" w:lineRule="auto"/>
              <w:ind w:left="-108"/>
              <w:jc w:val="center"/>
              <w:rPr>
                <w:rFonts w:ascii="Times New Roman" w:eastAsia="Times New Roman" w:hAnsi="Times New Roman"/>
                <w:color w:val="000000"/>
                <w:sz w:val="12"/>
                <w:szCs w:val="12"/>
                <w:lang w:val="ro-RO" w:eastAsia="ru-RU"/>
              </w:rPr>
            </w:pPr>
            <w:r w:rsidRPr="00E4283E">
              <w:rPr>
                <w:rFonts w:ascii="Times New Roman" w:eastAsia="Times New Roman" w:hAnsi="Times New Roman"/>
                <w:color w:val="000000"/>
                <w:sz w:val="12"/>
                <w:szCs w:val="12"/>
                <w:lang w:val="ro-RO" w:eastAsia="ru-RU"/>
              </w:rPr>
              <w:t>5</w:t>
            </w:r>
          </w:p>
        </w:tc>
        <w:tc>
          <w:tcPr>
            <w:tcW w:w="850" w:type="dxa"/>
            <w:noWrap/>
            <w:vAlign w:val="center"/>
          </w:tcPr>
          <w:p w:rsidR="00F24302" w:rsidRPr="00E4283E" w:rsidRDefault="00F24302" w:rsidP="006B6AE0">
            <w:pPr>
              <w:spacing w:after="0" w:line="240" w:lineRule="auto"/>
              <w:jc w:val="center"/>
              <w:rPr>
                <w:rFonts w:ascii="Times New Roman" w:eastAsia="Times New Roman" w:hAnsi="Times New Roman"/>
                <w:color w:val="000000"/>
                <w:sz w:val="12"/>
                <w:szCs w:val="12"/>
                <w:lang w:val="ro-RO" w:eastAsia="ru-RU"/>
              </w:rPr>
            </w:pPr>
            <w:r w:rsidRPr="00E4283E">
              <w:rPr>
                <w:rFonts w:ascii="Times New Roman" w:eastAsia="Times New Roman" w:hAnsi="Times New Roman"/>
                <w:color w:val="000000"/>
                <w:sz w:val="12"/>
                <w:szCs w:val="12"/>
                <w:lang w:val="ro-RO" w:eastAsia="ru-RU"/>
              </w:rPr>
              <w:t>6</w:t>
            </w:r>
          </w:p>
        </w:tc>
        <w:tc>
          <w:tcPr>
            <w:tcW w:w="1276" w:type="dxa"/>
            <w:noWrap/>
            <w:vAlign w:val="center"/>
          </w:tcPr>
          <w:p w:rsidR="00F24302" w:rsidRPr="00E4283E" w:rsidRDefault="00F24302" w:rsidP="006B6AE0">
            <w:pPr>
              <w:spacing w:after="0" w:line="240" w:lineRule="auto"/>
              <w:ind w:left="-108"/>
              <w:jc w:val="center"/>
              <w:rPr>
                <w:rFonts w:ascii="Times New Roman" w:eastAsia="Times New Roman" w:hAnsi="Times New Roman"/>
                <w:color w:val="000000"/>
                <w:sz w:val="12"/>
                <w:szCs w:val="12"/>
                <w:lang w:val="ro-RO" w:eastAsia="ru-RU"/>
              </w:rPr>
            </w:pPr>
            <w:r w:rsidRPr="00E4283E">
              <w:rPr>
                <w:rFonts w:ascii="Times New Roman" w:eastAsia="Times New Roman" w:hAnsi="Times New Roman"/>
                <w:color w:val="000000"/>
                <w:sz w:val="12"/>
                <w:szCs w:val="12"/>
                <w:lang w:val="ro-RO" w:eastAsia="ru-RU"/>
              </w:rPr>
              <w:t>7</w:t>
            </w:r>
          </w:p>
        </w:tc>
        <w:tc>
          <w:tcPr>
            <w:tcW w:w="851" w:type="dxa"/>
            <w:noWrap/>
            <w:vAlign w:val="center"/>
          </w:tcPr>
          <w:p w:rsidR="00F24302" w:rsidRPr="00E4283E" w:rsidRDefault="00F24302" w:rsidP="006B6AE0">
            <w:pPr>
              <w:spacing w:after="0" w:line="240" w:lineRule="auto"/>
              <w:jc w:val="center"/>
              <w:rPr>
                <w:rFonts w:ascii="Times New Roman" w:eastAsia="Times New Roman" w:hAnsi="Times New Roman"/>
                <w:color w:val="000000"/>
                <w:sz w:val="12"/>
                <w:szCs w:val="12"/>
                <w:lang w:val="ro-RO" w:eastAsia="ru-RU"/>
              </w:rPr>
            </w:pPr>
            <w:r w:rsidRPr="00E4283E">
              <w:rPr>
                <w:rFonts w:ascii="Times New Roman" w:eastAsia="Times New Roman" w:hAnsi="Times New Roman"/>
                <w:color w:val="000000"/>
                <w:sz w:val="12"/>
                <w:szCs w:val="12"/>
                <w:lang w:val="ro-RO" w:eastAsia="ru-RU"/>
              </w:rPr>
              <w:t>8</w:t>
            </w:r>
          </w:p>
        </w:tc>
        <w:tc>
          <w:tcPr>
            <w:tcW w:w="1275" w:type="dxa"/>
            <w:noWrap/>
            <w:vAlign w:val="center"/>
          </w:tcPr>
          <w:p w:rsidR="00F24302" w:rsidRPr="00E4283E" w:rsidRDefault="00F24302" w:rsidP="006B6AE0">
            <w:pPr>
              <w:spacing w:after="0" w:line="240" w:lineRule="auto"/>
              <w:ind w:left="-108"/>
              <w:jc w:val="center"/>
              <w:rPr>
                <w:rFonts w:ascii="Times New Roman" w:eastAsia="Times New Roman" w:hAnsi="Times New Roman"/>
                <w:color w:val="000000"/>
                <w:sz w:val="12"/>
                <w:szCs w:val="12"/>
                <w:lang w:val="ro-RO" w:eastAsia="ru-RU"/>
              </w:rPr>
            </w:pPr>
            <w:r w:rsidRPr="00E4283E">
              <w:rPr>
                <w:rFonts w:ascii="Times New Roman" w:eastAsia="Times New Roman" w:hAnsi="Times New Roman"/>
                <w:color w:val="000000"/>
                <w:sz w:val="12"/>
                <w:szCs w:val="12"/>
                <w:lang w:val="ro-RO" w:eastAsia="ru-RU"/>
              </w:rPr>
              <w:t>9</w:t>
            </w:r>
          </w:p>
        </w:tc>
      </w:tr>
      <w:tr w:rsidR="00F24302" w:rsidRPr="00121F51" w:rsidTr="006B6AE0">
        <w:trPr>
          <w:trHeight w:val="20"/>
        </w:trPr>
        <w:tc>
          <w:tcPr>
            <w:tcW w:w="3402" w:type="dxa"/>
            <w:hideMark/>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bCs/>
                <w:sz w:val="20"/>
                <w:szCs w:val="20"/>
                <w:lang w:val="ro-RO" w:eastAsia="ru-RU"/>
              </w:rPr>
              <w:t xml:space="preserve">Aparatul președintelui raionului </w:t>
            </w:r>
          </w:p>
        </w:tc>
        <w:tc>
          <w:tcPr>
            <w:tcW w:w="851" w:type="dxa"/>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4,0</w:t>
            </w:r>
          </w:p>
        </w:tc>
        <w:tc>
          <w:tcPr>
            <w:tcW w:w="1417" w:type="dxa"/>
            <w:noWrap/>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25,5</w:t>
            </w:r>
          </w:p>
        </w:tc>
        <w:tc>
          <w:tcPr>
            <w:tcW w:w="198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Cs/>
                <w:color w:val="000000"/>
                <w:sz w:val="20"/>
                <w:szCs w:val="20"/>
                <w:lang w:val="ro-RO" w:eastAsia="ru-RU"/>
              </w:rPr>
            </w:pPr>
            <w:r w:rsidRPr="00E4283E">
              <w:rPr>
                <w:rFonts w:ascii="Times New Roman" w:eastAsia="Times New Roman" w:hAnsi="Times New Roman"/>
                <w:bCs/>
                <w:color w:val="000000"/>
                <w:sz w:val="20"/>
                <w:szCs w:val="20"/>
                <w:lang w:val="ro-RO" w:eastAsia="ru-RU"/>
              </w:rPr>
              <w:t>1,0</w:t>
            </w:r>
          </w:p>
        </w:tc>
        <w:tc>
          <w:tcPr>
            <w:tcW w:w="2693"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Cs/>
                <w:iCs/>
                <w:color w:val="000000"/>
                <w:sz w:val="20"/>
                <w:szCs w:val="20"/>
                <w:lang w:val="ro-RO" w:eastAsia="ru-RU"/>
              </w:rPr>
            </w:pPr>
            <w:r w:rsidRPr="00E4283E">
              <w:rPr>
                <w:rFonts w:ascii="Times New Roman" w:eastAsia="Times New Roman" w:hAnsi="Times New Roman"/>
                <w:bCs/>
                <w:iCs/>
                <w:color w:val="000000"/>
                <w:sz w:val="20"/>
                <w:szCs w:val="20"/>
                <w:lang w:val="ro-RO" w:eastAsia="ru-RU"/>
              </w:rPr>
              <w:t>1,3</w:t>
            </w:r>
          </w:p>
        </w:tc>
        <w:tc>
          <w:tcPr>
            <w:tcW w:w="850"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Cs/>
                <w:color w:val="000000"/>
                <w:sz w:val="20"/>
                <w:szCs w:val="20"/>
                <w:lang w:val="ro-RO" w:eastAsia="ru-RU"/>
              </w:rPr>
            </w:pPr>
            <w:r w:rsidRPr="00E4283E">
              <w:rPr>
                <w:rFonts w:ascii="Times New Roman" w:eastAsia="Times New Roman" w:hAnsi="Times New Roman"/>
                <w:bCs/>
                <w:color w:val="000000"/>
                <w:sz w:val="20"/>
                <w:szCs w:val="20"/>
                <w:lang w:val="ro-RO" w:eastAsia="ru-RU"/>
              </w:rPr>
              <w:t>28,0</w:t>
            </w:r>
          </w:p>
        </w:tc>
        <w:tc>
          <w:tcPr>
            <w:tcW w:w="1276"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Cs/>
                <w:iCs/>
                <w:color w:val="000000"/>
                <w:sz w:val="20"/>
                <w:szCs w:val="20"/>
                <w:lang w:val="ro-RO" w:eastAsia="ru-RU"/>
              </w:rPr>
            </w:pPr>
            <w:r w:rsidRPr="00E4283E">
              <w:rPr>
                <w:rFonts w:ascii="Times New Roman" w:eastAsia="Times New Roman" w:hAnsi="Times New Roman"/>
                <w:bCs/>
                <w:iCs/>
                <w:color w:val="000000"/>
                <w:sz w:val="20"/>
                <w:szCs w:val="20"/>
                <w:lang w:val="ro-RO" w:eastAsia="ru-RU"/>
              </w:rPr>
              <w:t>107,2</w:t>
            </w:r>
          </w:p>
        </w:tc>
        <w:tc>
          <w:tcPr>
            <w:tcW w:w="851"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Cs/>
                <w:color w:val="000000"/>
                <w:sz w:val="20"/>
                <w:szCs w:val="20"/>
                <w:lang w:val="ro-RO" w:eastAsia="ru-RU"/>
              </w:rPr>
            </w:pPr>
            <w:r w:rsidRPr="00E4283E">
              <w:rPr>
                <w:rFonts w:ascii="Times New Roman" w:eastAsia="Times New Roman" w:hAnsi="Times New Roman"/>
                <w:bCs/>
                <w:color w:val="000000"/>
                <w:sz w:val="20"/>
                <w:szCs w:val="20"/>
                <w:lang w:val="ro-RO" w:eastAsia="ru-RU"/>
              </w:rPr>
              <w:t>31,0</w:t>
            </w:r>
          </w:p>
        </w:tc>
        <w:tc>
          <w:tcPr>
            <w:tcW w:w="127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Cs/>
                <w:iCs/>
                <w:color w:val="000000"/>
                <w:sz w:val="20"/>
                <w:szCs w:val="20"/>
                <w:lang w:val="ro-RO" w:eastAsia="ru-RU"/>
              </w:rPr>
            </w:pPr>
            <w:r w:rsidRPr="00E4283E">
              <w:rPr>
                <w:rFonts w:ascii="Times New Roman" w:eastAsia="Times New Roman" w:hAnsi="Times New Roman"/>
                <w:bCs/>
                <w:iCs/>
                <w:color w:val="000000"/>
                <w:sz w:val="20"/>
                <w:szCs w:val="20"/>
                <w:lang w:val="ro-RO" w:eastAsia="ru-RU"/>
              </w:rPr>
              <w:t>17,3</w:t>
            </w:r>
          </w:p>
        </w:tc>
      </w:tr>
      <w:tr w:rsidR="00F24302" w:rsidRPr="00121F51" w:rsidTr="006B6AE0">
        <w:trPr>
          <w:trHeight w:val="20"/>
        </w:trPr>
        <w:tc>
          <w:tcPr>
            <w:tcW w:w="3402" w:type="dxa"/>
          </w:tcPr>
          <w:p w:rsidR="00F24302" w:rsidRPr="00E4283E" w:rsidRDefault="00F24302" w:rsidP="006B6AE0">
            <w:pPr>
              <w:spacing w:after="0" w:line="240" w:lineRule="auto"/>
              <w:rPr>
                <w:rFonts w:ascii="Times New Roman" w:eastAsia="Times New Roman" w:hAnsi="Times New Roman"/>
                <w:bCs/>
                <w:sz w:val="20"/>
                <w:szCs w:val="20"/>
                <w:lang w:val="ro-RO" w:eastAsia="ru-RU"/>
              </w:rPr>
            </w:pPr>
            <w:r w:rsidRPr="00E4283E">
              <w:rPr>
                <w:rFonts w:ascii="Times New Roman" w:eastAsia="Times New Roman" w:hAnsi="Times New Roman"/>
                <w:bCs/>
                <w:sz w:val="20"/>
                <w:szCs w:val="20"/>
                <w:lang w:val="ro-RO" w:eastAsia="ru-RU"/>
              </w:rPr>
              <w:t>Direcția Agricultură și Alimentație</w:t>
            </w:r>
          </w:p>
        </w:tc>
        <w:tc>
          <w:tcPr>
            <w:tcW w:w="851" w:type="dxa"/>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1,0</w:t>
            </w:r>
          </w:p>
        </w:tc>
        <w:tc>
          <w:tcPr>
            <w:tcW w:w="1417" w:type="dxa"/>
            <w:noWrap/>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2,7</w:t>
            </w:r>
          </w:p>
        </w:tc>
        <w:tc>
          <w:tcPr>
            <w:tcW w:w="1985"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2693"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850"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6"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851"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5"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r>
      <w:tr w:rsidR="00F24302" w:rsidRPr="00121F51" w:rsidTr="006B6AE0">
        <w:trPr>
          <w:trHeight w:val="20"/>
        </w:trPr>
        <w:tc>
          <w:tcPr>
            <w:tcW w:w="3402" w:type="dxa"/>
            <w:hideMark/>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bCs/>
                <w:sz w:val="20"/>
                <w:szCs w:val="20"/>
                <w:lang w:val="ro-RO" w:eastAsia="ru-RU"/>
              </w:rPr>
              <w:t>Serviciul Relații Funciare și Cadastru</w:t>
            </w:r>
          </w:p>
        </w:tc>
        <w:tc>
          <w:tcPr>
            <w:tcW w:w="851" w:type="dxa"/>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1,0</w:t>
            </w:r>
          </w:p>
        </w:tc>
        <w:tc>
          <w:tcPr>
            <w:tcW w:w="1417" w:type="dxa"/>
            <w:noWrap/>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2,2</w:t>
            </w:r>
          </w:p>
        </w:tc>
        <w:tc>
          <w:tcPr>
            <w:tcW w:w="1985"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2693"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850"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6"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851"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5"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r>
      <w:tr w:rsidR="00F24302" w:rsidRPr="00121F51" w:rsidTr="006B6AE0">
        <w:trPr>
          <w:trHeight w:val="20"/>
        </w:trPr>
        <w:tc>
          <w:tcPr>
            <w:tcW w:w="3402" w:type="dxa"/>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Direcția Asistență Socială și Protecție a Familiei</w:t>
            </w:r>
          </w:p>
        </w:tc>
        <w:tc>
          <w:tcPr>
            <w:tcW w:w="851" w:type="dxa"/>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1,0</w:t>
            </w:r>
          </w:p>
        </w:tc>
        <w:tc>
          <w:tcPr>
            <w:tcW w:w="1417" w:type="dxa"/>
            <w:noWrap/>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8,8</w:t>
            </w:r>
          </w:p>
        </w:tc>
        <w:tc>
          <w:tcPr>
            <w:tcW w:w="198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7,0</w:t>
            </w:r>
          </w:p>
        </w:tc>
        <w:tc>
          <w:tcPr>
            <w:tcW w:w="2693"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44,8</w:t>
            </w:r>
          </w:p>
        </w:tc>
        <w:tc>
          <w:tcPr>
            <w:tcW w:w="850"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7,0</w:t>
            </w:r>
          </w:p>
        </w:tc>
        <w:tc>
          <w:tcPr>
            <w:tcW w:w="1276"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24,6</w:t>
            </w:r>
          </w:p>
        </w:tc>
        <w:tc>
          <w:tcPr>
            <w:tcW w:w="851"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r>
      <w:tr w:rsidR="00F24302" w:rsidRPr="00121F51" w:rsidTr="006B6AE0">
        <w:trPr>
          <w:trHeight w:val="20"/>
        </w:trPr>
        <w:tc>
          <w:tcPr>
            <w:tcW w:w="3402" w:type="dxa"/>
            <w:hideMark/>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Direcția Educație</w:t>
            </w:r>
          </w:p>
        </w:tc>
        <w:tc>
          <w:tcPr>
            <w:tcW w:w="851" w:type="dxa"/>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3,0</w:t>
            </w:r>
          </w:p>
        </w:tc>
        <w:tc>
          <w:tcPr>
            <w:tcW w:w="1417" w:type="dxa"/>
            <w:noWrap/>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16,3</w:t>
            </w:r>
          </w:p>
        </w:tc>
        <w:tc>
          <w:tcPr>
            <w:tcW w:w="198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iCs/>
                <w:color w:val="000000"/>
                <w:sz w:val="20"/>
                <w:szCs w:val="20"/>
                <w:lang w:val="ro-RO" w:eastAsia="ru-RU"/>
              </w:rPr>
            </w:pPr>
            <w:r w:rsidRPr="00E4283E">
              <w:rPr>
                <w:rFonts w:ascii="Times New Roman" w:eastAsia="Times New Roman" w:hAnsi="Times New Roman"/>
                <w:iCs/>
                <w:color w:val="000000"/>
                <w:sz w:val="20"/>
                <w:szCs w:val="20"/>
                <w:lang w:val="ro-RO" w:eastAsia="ru-RU"/>
              </w:rPr>
              <w:t>22,0</w:t>
            </w:r>
          </w:p>
        </w:tc>
        <w:tc>
          <w:tcPr>
            <w:tcW w:w="2693"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76,3</w:t>
            </w:r>
          </w:p>
        </w:tc>
        <w:tc>
          <w:tcPr>
            <w:tcW w:w="850"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iCs/>
                <w:color w:val="000000"/>
                <w:sz w:val="20"/>
                <w:szCs w:val="20"/>
                <w:lang w:val="ro-RO" w:eastAsia="ru-RU"/>
              </w:rPr>
            </w:pPr>
            <w:r w:rsidRPr="00E4283E">
              <w:rPr>
                <w:rFonts w:ascii="Times New Roman" w:eastAsia="Times New Roman" w:hAnsi="Times New Roman"/>
                <w:iCs/>
                <w:color w:val="000000"/>
                <w:sz w:val="20"/>
                <w:szCs w:val="20"/>
                <w:lang w:val="ro-RO" w:eastAsia="ru-RU"/>
              </w:rPr>
              <w:t>7,0</w:t>
            </w:r>
          </w:p>
        </w:tc>
        <w:tc>
          <w:tcPr>
            <w:tcW w:w="1276"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25,3</w:t>
            </w:r>
          </w:p>
        </w:tc>
        <w:tc>
          <w:tcPr>
            <w:tcW w:w="851"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5"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r>
      <w:tr w:rsidR="00F24302" w:rsidRPr="00121F51" w:rsidTr="006B6AE0">
        <w:trPr>
          <w:trHeight w:val="20"/>
        </w:trPr>
        <w:tc>
          <w:tcPr>
            <w:tcW w:w="3402" w:type="dxa"/>
            <w:hideMark/>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Direcția Finanțe</w:t>
            </w:r>
          </w:p>
        </w:tc>
        <w:tc>
          <w:tcPr>
            <w:tcW w:w="851" w:type="dxa"/>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6,0</w:t>
            </w:r>
          </w:p>
        </w:tc>
        <w:tc>
          <w:tcPr>
            <w:tcW w:w="1417" w:type="dxa"/>
            <w:noWrap/>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17,0</w:t>
            </w:r>
          </w:p>
        </w:tc>
        <w:tc>
          <w:tcPr>
            <w:tcW w:w="198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sz w:val="20"/>
                <w:szCs w:val="20"/>
                <w:lang w:val="ro-RO" w:eastAsia="ru-RU"/>
              </w:rPr>
              <w:t>//-//</w:t>
            </w:r>
          </w:p>
        </w:tc>
        <w:tc>
          <w:tcPr>
            <w:tcW w:w="2693"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sz w:val="20"/>
                <w:szCs w:val="20"/>
                <w:lang w:val="ro-RO" w:eastAsia="ru-RU"/>
              </w:rPr>
              <w:t>//-//</w:t>
            </w:r>
          </w:p>
        </w:tc>
        <w:tc>
          <w:tcPr>
            <w:tcW w:w="850"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11,0</w:t>
            </w:r>
          </w:p>
        </w:tc>
        <w:tc>
          <w:tcPr>
            <w:tcW w:w="1276"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39,2</w:t>
            </w:r>
          </w:p>
        </w:tc>
        <w:tc>
          <w:tcPr>
            <w:tcW w:w="851"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5"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r>
      <w:tr w:rsidR="00F24302" w:rsidRPr="00121F51" w:rsidTr="006B6AE0">
        <w:trPr>
          <w:trHeight w:val="20"/>
        </w:trPr>
        <w:tc>
          <w:tcPr>
            <w:tcW w:w="3402" w:type="dxa"/>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Secția Cultură</w:t>
            </w:r>
          </w:p>
        </w:tc>
        <w:tc>
          <w:tcPr>
            <w:tcW w:w="851" w:type="dxa"/>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2,0</w:t>
            </w:r>
          </w:p>
        </w:tc>
        <w:tc>
          <w:tcPr>
            <w:tcW w:w="1417" w:type="dxa"/>
            <w:noWrap/>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8,8</w:t>
            </w:r>
          </w:p>
        </w:tc>
        <w:tc>
          <w:tcPr>
            <w:tcW w:w="198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1,0</w:t>
            </w:r>
          </w:p>
        </w:tc>
        <w:tc>
          <w:tcPr>
            <w:tcW w:w="2693"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4,5</w:t>
            </w:r>
          </w:p>
        </w:tc>
        <w:tc>
          <w:tcPr>
            <w:tcW w:w="850"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2,0</w:t>
            </w:r>
          </w:p>
        </w:tc>
        <w:tc>
          <w:tcPr>
            <w:tcW w:w="1276"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7,1</w:t>
            </w:r>
          </w:p>
        </w:tc>
        <w:tc>
          <w:tcPr>
            <w:tcW w:w="851"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5"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r>
      <w:tr w:rsidR="00F24302" w:rsidRPr="00121F51" w:rsidTr="006B6AE0">
        <w:trPr>
          <w:trHeight w:val="20"/>
        </w:trPr>
        <w:tc>
          <w:tcPr>
            <w:tcW w:w="3402" w:type="dxa"/>
            <w:hideMark/>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Primăria or. Biruința</w:t>
            </w:r>
          </w:p>
        </w:tc>
        <w:tc>
          <w:tcPr>
            <w:tcW w:w="851" w:type="dxa"/>
            <w:vAlign w:val="center"/>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417" w:type="dxa"/>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98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1,0</w:t>
            </w:r>
          </w:p>
        </w:tc>
        <w:tc>
          <w:tcPr>
            <w:tcW w:w="2693"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1,1</w:t>
            </w:r>
          </w:p>
        </w:tc>
        <w:tc>
          <w:tcPr>
            <w:tcW w:w="850"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6"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851"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5"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r>
      <w:tr w:rsidR="00F24302" w:rsidRPr="00121F51" w:rsidTr="006B6AE0">
        <w:trPr>
          <w:trHeight w:val="20"/>
        </w:trPr>
        <w:tc>
          <w:tcPr>
            <w:tcW w:w="3402" w:type="dxa"/>
            <w:hideMark/>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Primăria com. Chișcăreni</w:t>
            </w:r>
          </w:p>
        </w:tc>
        <w:tc>
          <w:tcPr>
            <w:tcW w:w="851" w:type="dxa"/>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417" w:type="dxa"/>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98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3,0</w:t>
            </w:r>
          </w:p>
        </w:tc>
        <w:tc>
          <w:tcPr>
            <w:tcW w:w="2693"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32,4</w:t>
            </w:r>
          </w:p>
        </w:tc>
        <w:tc>
          <w:tcPr>
            <w:tcW w:w="850"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6"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851"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17,0</w:t>
            </w:r>
          </w:p>
        </w:tc>
        <w:tc>
          <w:tcPr>
            <w:tcW w:w="127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0,9</w:t>
            </w:r>
          </w:p>
        </w:tc>
      </w:tr>
      <w:tr w:rsidR="00F24302" w:rsidRPr="00121F51" w:rsidTr="006B6AE0">
        <w:trPr>
          <w:trHeight w:val="20"/>
        </w:trPr>
        <w:tc>
          <w:tcPr>
            <w:tcW w:w="3402" w:type="dxa"/>
            <w:hideMark/>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Primăria com. Coșcodeni</w:t>
            </w:r>
          </w:p>
        </w:tc>
        <w:tc>
          <w:tcPr>
            <w:tcW w:w="851" w:type="dxa"/>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417" w:type="dxa"/>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98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1,0</w:t>
            </w:r>
          </w:p>
        </w:tc>
        <w:tc>
          <w:tcPr>
            <w:tcW w:w="2693"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19,7</w:t>
            </w:r>
          </w:p>
        </w:tc>
        <w:tc>
          <w:tcPr>
            <w:tcW w:w="850"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1,0</w:t>
            </w:r>
          </w:p>
        </w:tc>
        <w:tc>
          <w:tcPr>
            <w:tcW w:w="1276"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5,2</w:t>
            </w:r>
          </w:p>
        </w:tc>
        <w:tc>
          <w:tcPr>
            <w:tcW w:w="851"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14,0</w:t>
            </w:r>
          </w:p>
        </w:tc>
        <w:tc>
          <w:tcPr>
            <w:tcW w:w="127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1,7</w:t>
            </w:r>
          </w:p>
        </w:tc>
      </w:tr>
      <w:tr w:rsidR="00F24302" w:rsidRPr="00121F51" w:rsidTr="006B6AE0">
        <w:trPr>
          <w:trHeight w:val="20"/>
        </w:trPr>
        <w:tc>
          <w:tcPr>
            <w:tcW w:w="3402" w:type="dxa"/>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Primăria com. Drăgănești</w:t>
            </w:r>
          </w:p>
        </w:tc>
        <w:tc>
          <w:tcPr>
            <w:tcW w:w="851" w:type="dxa"/>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417" w:type="dxa"/>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98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1,0</w:t>
            </w:r>
          </w:p>
        </w:tc>
        <w:tc>
          <w:tcPr>
            <w:tcW w:w="2693"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11,9</w:t>
            </w:r>
          </w:p>
        </w:tc>
        <w:tc>
          <w:tcPr>
            <w:tcW w:w="850"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6"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851"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14,0</w:t>
            </w:r>
          </w:p>
        </w:tc>
        <w:tc>
          <w:tcPr>
            <w:tcW w:w="127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4,6</w:t>
            </w:r>
          </w:p>
        </w:tc>
      </w:tr>
      <w:tr w:rsidR="00F24302" w:rsidRPr="00121F51" w:rsidTr="006B6AE0">
        <w:trPr>
          <w:trHeight w:val="20"/>
        </w:trPr>
        <w:tc>
          <w:tcPr>
            <w:tcW w:w="3402" w:type="dxa"/>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Primăria sat</w:t>
            </w:r>
            <w:r w:rsidRPr="00E4283E">
              <w:rPr>
                <w:rFonts w:ascii="Times New Roman" w:eastAsia="Times New Roman" w:hAnsi="Times New Roman"/>
                <w:sz w:val="20"/>
                <w:szCs w:val="20"/>
                <w:lang w:val="ro-RO" w:eastAsia="ja-JP"/>
              </w:rPr>
              <w:t>. Rădoaia</w:t>
            </w:r>
          </w:p>
        </w:tc>
        <w:tc>
          <w:tcPr>
            <w:tcW w:w="851" w:type="dxa"/>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417" w:type="dxa"/>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98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3,0</w:t>
            </w:r>
          </w:p>
        </w:tc>
        <w:tc>
          <w:tcPr>
            <w:tcW w:w="2693"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3,7</w:t>
            </w:r>
          </w:p>
        </w:tc>
        <w:tc>
          <w:tcPr>
            <w:tcW w:w="850"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6"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851"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14,0</w:t>
            </w:r>
          </w:p>
        </w:tc>
        <w:tc>
          <w:tcPr>
            <w:tcW w:w="127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0,8</w:t>
            </w:r>
          </w:p>
        </w:tc>
      </w:tr>
      <w:tr w:rsidR="00F24302" w:rsidRPr="00121F51" w:rsidTr="006B6AE0">
        <w:trPr>
          <w:trHeight w:val="20"/>
        </w:trPr>
        <w:tc>
          <w:tcPr>
            <w:tcW w:w="3402" w:type="dxa"/>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Primăria com. Sîngereii Noi</w:t>
            </w:r>
          </w:p>
        </w:tc>
        <w:tc>
          <w:tcPr>
            <w:tcW w:w="851" w:type="dxa"/>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417" w:type="dxa"/>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985"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2693"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850"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276"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851"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iCs/>
                <w:color w:val="000000"/>
                <w:sz w:val="20"/>
                <w:szCs w:val="20"/>
                <w:lang w:val="ro-RO" w:eastAsia="ru-RU"/>
              </w:rPr>
            </w:pPr>
            <w:r w:rsidRPr="00E4283E">
              <w:rPr>
                <w:rFonts w:ascii="Times New Roman" w:eastAsia="Times New Roman" w:hAnsi="Times New Roman"/>
                <w:iCs/>
                <w:color w:val="000000"/>
                <w:sz w:val="20"/>
                <w:szCs w:val="20"/>
                <w:lang w:val="ro-RO" w:eastAsia="ru-RU"/>
              </w:rPr>
              <w:t>14,0</w:t>
            </w:r>
          </w:p>
        </w:tc>
        <w:tc>
          <w:tcPr>
            <w:tcW w:w="127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0,7</w:t>
            </w:r>
          </w:p>
        </w:tc>
      </w:tr>
      <w:tr w:rsidR="00F24302" w:rsidRPr="00121F51" w:rsidTr="006B6AE0">
        <w:trPr>
          <w:trHeight w:val="20"/>
        </w:trPr>
        <w:tc>
          <w:tcPr>
            <w:tcW w:w="3402" w:type="dxa"/>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Primăria or. Sîngerei</w:t>
            </w:r>
          </w:p>
        </w:tc>
        <w:tc>
          <w:tcPr>
            <w:tcW w:w="851" w:type="dxa"/>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417" w:type="dxa"/>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985"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2693"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850"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12,0</w:t>
            </w:r>
          </w:p>
        </w:tc>
        <w:tc>
          <w:tcPr>
            <w:tcW w:w="1276"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64,7</w:t>
            </w:r>
          </w:p>
        </w:tc>
        <w:tc>
          <w:tcPr>
            <w:tcW w:w="851"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w:t>
            </w:r>
          </w:p>
        </w:tc>
        <w:tc>
          <w:tcPr>
            <w:tcW w:w="127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color w:val="000000"/>
                <w:sz w:val="20"/>
                <w:szCs w:val="20"/>
                <w:lang w:val="ro-RO" w:eastAsia="ru-RU"/>
              </w:rPr>
            </w:pPr>
            <w:r w:rsidRPr="00E4283E">
              <w:rPr>
                <w:rFonts w:ascii="Times New Roman" w:eastAsia="Times New Roman" w:hAnsi="Times New Roman"/>
                <w:color w:val="000000"/>
                <w:sz w:val="20"/>
                <w:szCs w:val="20"/>
                <w:lang w:val="ro-RO" w:eastAsia="ru-RU"/>
              </w:rPr>
              <w:t xml:space="preserve">//-// </w:t>
            </w:r>
          </w:p>
        </w:tc>
      </w:tr>
      <w:tr w:rsidR="00F24302" w:rsidRPr="00121F51" w:rsidTr="006B6AE0">
        <w:trPr>
          <w:trHeight w:val="20"/>
        </w:trPr>
        <w:tc>
          <w:tcPr>
            <w:tcW w:w="3402" w:type="dxa"/>
          </w:tcPr>
          <w:p w:rsidR="00F24302" w:rsidRPr="00E4283E" w:rsidRDefault="00F24302" w:rsidP="006B6AE0">
            <w:pPr>
              <w:spacing w:after="0" w:line="240" w:lineRule="auto"/>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Primăria com. Cubolta</w:t>
            </w:r>
          </w:p>
        </w:tc>
        <w:tc>
          <w:tcPr>
            <w:tcW w:w="851" w:type="dxa"/>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417" w:type="dxa"/>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1985"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2693" w:type="dxa"/>
            <w:tcBorders>
              <w:top w:val="nil"/>
              <w:left w:val="nil"/>
              <w:bottom w:val="single" w:sz="8" w:space="0" w:color="auto"/>
              <w:right w:val="single" w:sz="8" w:space="0" w:color="auto"/>
            </w:tcBorders>
            <w:shd w:val="clear" w:color="auto" w:fill="auto"/>
            <w:noWrap/>
          </w:tcPr>
          <w:p w:rsidR="00F24302" w:rsidRPr="00E4283E" w:rsidRDefault="00F24302" w:rsidP="006B6AE0">
            <w:pPr>
              <w:spacing w:after="0" w:line="240" w:lineRule="auto"/>
              <w:jc w:val="center"/>
              <w:rPr>
                <w:rFonts w:ascii="Times New Roman" w:eastAsia="Times New Roman" w:hAnsi="Times New Roman"/>
                <w:sz w:val="20"/>
                <w:szCs w:val="20"/>
                <w:lang w:val="ro-RO" w:eastAsia="ru-RU"/>
              </w:rPr>
            </w:pPr>
            <w:r w:rsidRPr="00E4283E">
              <w:rPr>
                <w:rFonts w:ascii="Times New Roman" w:eastAsia="Times New Roman" w:hAnsi="Times New Roman"/>
                <w:sz w:val="20"/>
                <w:szCs w:val="20"/>
                <w:lang w:val="ro-RO" w:eastAsia="ru-RU"/>
              </w:rPr>
              <w:t>//-//</w:t>
            </w:r>
          </w:p>
        </w:tc>
        <w:tc>
          <w:tcPr>
            <w:tcW w:w="850"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Cs/>
                <w:iCs/>
                <w:color w:val="000000"/>
                <w:sz w:val="20"/>
                <w:szCs w:val="20"/>
                <w:lang w:val="ro-RO" w:eastAsia="ru-RU"/>
              </w:rPr>
            </w:pPr>
            <w:r w:rsidRPr="00E4283E">
              <w:rPr>
                <w:rFonts w:ascii="Times New Roman" w:eastAsia="Times New Roman" w:hAnsi="Times New Roman"/>
                <w:bCs/>
                <w:iCs/>
                <w:color w:val="000000"/>
                <w:sz w:val="20"/>
                <w:szCs w:val="20"/>
                <w:lang w:val="ro-RO" w:eastAsia="ru-RU"/>
              </w:rPr>
              <w:t>1,0</w:t>
            </w:r>
          </w:p>
        </w:tc>
        <w:tc>
          <w:tcPr>
            <w:tcW w:w="1276"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Cs/>
                <w:color w:val="000000"/>
                <w:sz w:val="20"/>
                <w:szCs w:val="20"/>
                <w:lang w:val="ro-RO" w:eastAsia="ru-RU"/>
              </w:rPr>
            </w:pPr>
            <w:r w:rsidRPr="00E4283E">
              <w:rPr>
                <w:rFonts w:ascii="Times New Roman" w:eastAsia="Times New Roman" w:hAnsi="Times New Roman"/>
                <w:bCs/>
                <w:color w:val="000000"/>
                <w:sz w:val="20"/>
                <w:szCs w:val="20"/>
                <w:lang w:val="ro-RO" w:eastAsia="ru-RU"/>
              </w:rPr>
              <w:t>5,2</w:t>
            </w:r>
          </w:p>
        </w:tc>
        <w:tc>
          <w:tcPr>
            <w:tcW w:w="851"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Cs/>
                <w:iCs/>
                <w:color w:val="000000"/>
                <w:sz w:val="20"/>
                <w:szCs w:val="20"/>
                <w:lang w:val="ro-RO" w:eastAsia="ru-RU"/>
              </w:rPr>
            </w:pPr>
            <w:r w:rsidRPr="00E4283E">
              <w:rPr>
                <w:rFonts w:ascii="Times New Roman" w:eastAsia="Times New Roman" w:hAnsi="Times New Roman"/>
                <w:bCs/>
                <w:iCs/>
                <w:color w:val="000000"/>
                <w:sz w:val="20"/>
                <w:szCs w:val="20"/>
                <w:lang w:val="ro-RO" w:eastAsia="ru-RU"/>
              </w:rPr>
              <w:t>1,0</w:t>
            </w:r>
          </w:p>
        </w:tc>
        <w:tc>
          <w:tcPr>
            <w:tcW w:w="127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Cs/>
                <w:color w:val="000000"/>
                <w:sz w:val="20"/>
                <w:szCs w:val="20"/>
                <w:lang w:val="ro-RO" w:eastAsia="ru-RU"/>
              </w:rPr>
            </w:pPr>
            <w:r w:rsidRPr="00E4283E">
              <w:rPr>
                <w:rFonts w:ascii="Times New Roman" w:eastAsia="Times New Roman" w:hAnsi="Times New Roman"/>
                <w:bCs/>
                <w:color w:val="000000"/>
                <w:sz w:val="20"/>
                <w:szCs w:val="20"/>
                <w:lang w:val="ro-RO" w:eastAsia="ru-RU"/>
              </w:rPr>
              <w:t>6,2</w:t>
            </w:r>
          </w:p>
        </w:tc>
      </w:tr>
      <w:tr w:rsidR="00F24302" w:rsidRPr="00121F51" w:rsidTr="006B6AE0">
        <w:trPr>
          <w:trHeight w:val="20"/>
        </w:trPr>
        <w:tc>
          <w:tcPr>
            <w:tcW w:w="3402" w:type="dxa"/>
          </w:tcPr>
          <w:p w:rsidR="00F24302" w:rsidRPr="00E4283E" w:rsidRDefault="00F24302" w:rsidP="006B6AE0">
            <w:pPr>
              <w:spacing w:after="0" w:line="240" w:lineRule="auto"/>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Total</w:t>
            </w:r>
          </w:p>
        </w:tc>
        <w:tc>
          <w:tcPr>
            <w:tcW w:w="851" w:type="dxa"/>
            <w:vAlign w:val="center"/>
          </w:tcPr>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18,0</w:t>
            </w:r>
          </w:p>
        </w:tc>
        <w:tc>
          <w:tcPr>
            <w:tcW w:w="1417" w:type="dxa"/>
            <w:noWrap/>
            <w:vAlign w:val="center"/>
          </w:tcPr>
          <w:p w:rsidR="00F24302" w:rsidRPr="00E4283E" w:rsidRDefault="00F24302" w:rsidP="006B6AE0">
            <w:pPr>
              <w:spacing w:after="0" w:line="240" w:lineRule="auto"/>
              <w:jc w:val="center"/>
              <w:rPr>
                <w:rFonts w:ascii="Times New Roman" w:eastAsia="Times New Roman" w:hAnsi="Times New Roman"/>
                <w:b/>
                <w:sz w:val="20"/>
                <w:szCs w:val="20"/>
                <w:lang w:val="ro-RO" w:eastAsia="ru-RU"/>
              </w:rPr>
            </w:pPr>
            <w:r w:rsidRPr="00E4283E">
              <w:rPr>
                <w:rFonts w:ascii="Times New Roman" w:eastAsia="Times New Roman" w:hAnsi="Times New Roman"/>
                <w:b/>
                <w:sz w:val="20"/>
                <w:szCs w:val="20"/>
                <w:lang w:val="ro-RO" w:eastAsia="ru-RU"/>
              </w:rPr>
              <w:t>81,3</w:t>
            </w:r>
          </w:p>
        </w:tc>
        <w:tc>
          <w:tcPr>
            <w:tcW w:w="198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
                <w:bCs/>
                <w:iCs/>
                <w:color w:val="000000"/>
                <w:sz w:val="20"/>
                <w:szCs w:val="20"/>
                <w:lang w:val="ro-RO" w:eastAsia="ru-RU"/>
              </w:rPr>
            </w:pPr>
            <w:r w:rsidRPr="00E4283E">
              <w:rPr>
                <w:rFonts w:ascii="Times New Roman" w:eastAsia="Times New Roman" w:hAnsi="Times New Roman"/>
                <w:b/>
                <w:bCs/>
                <w:iCs/>
                <w:color w:val="000000"/>
                <w:sz w:val="20"/>
                <w:szCs w:val="20"/>
                <w:lang w:val="ro-RO" w:eastAsia="ru-RU"/>
              </w:rPr>
              <w:t>40,0</w:t>
            </w:r>
          </w:p>
        </w:tc>
        <w:tc>
          <w:tcPr>
            <w:tcW w:w="2693"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
                <w:bCs/>
                <w:color w:val="000000"/>
                <w:sz w:val="20"/>
                <w:szCs w:val="20"/>
                <w:lang w:val="ro-RO" w:eastAsia="ru-RU"/>
              </w:rPr>
            </w:pPr>
            <w:r w:rsidRPr="00E4283E">
              <w:rPr>
                <w:rFonts w:ascii="Times New Roman" w:eastAsia="Times New Roman" w:hAnsi="Times New Roman"/>
                <w:b/>
                <w:bCs/>
                <w:color w:val="000000"/>
                <w:sz w:val="20"/>
                <w:szCs w:val="20"/>
                <w:lang w:val="ro-RO" w:eastAsia="ru-RU"/>
              </w:rPr>
              <w:t>195,7</w:t>
            </w:r>
          </w:p>
        </w:tc>
        <w:tc>
          <w:tcPr>
            <w:tcW w:w="850"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
                <w:bCs/>
                <w:iCs/>
                <w:color w:val="000000"/>
                <w:sz w:val="20"/>
                <w:szCs w:val="20"/>
                <w:lang w:val="ro-RO" w:eastAsia="ru-RU"/>
              </w:rPr>
            </w:pPr>
            <w:r w:rsidRPr="00E4283E">
              <w:rPr>
                <w:rFonts w:ascii="Times New Roman" w:eastAsia="Times New Roman" w:hAnsi="Times New Roman"/>
                <w:b/>
                <w:bCs/>
                <w:iCs/>
                <w:color w:val="000000"/>
                <w:sz w:val="20"/>
                <w:szCs w:val="20"/>
                <w:lang w:val="ro-RO" w:eastAsia="ru-RU"/>
              </w:rPr>
              <w:t>69,0</w:t>
            </w:r>
          </w:p>
        </w:tc>
        <w:tc>
          <w:tcPr>
            <w:tcW w:w="1276"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
                <w:bCs/>
                <w:color w:val="000000"/>
                <w:sz w:val="20"/>
                <w:szCs w:val="20"/>
                <w:lang w:val="ro-RO" w:eastAsia="ru-RU"/>
              </w:rPr>
            </w:pPr>
            <w:r w:rsidRPr="00E4283E">
              <w:rPr>
                <w:rFonts w:ascii="Times New Roman" w:eastAsia="Times New Roman" w:hAnsi="Times New Roman"/>
                <w:b/>
                <w:bCs/>
                <w:color w:val="000000"/>
                <w:sz w:val="20"/>
                <w:szCs w:val="20"/>
                <w:lang w:val="ro-RO" w:eastAsia="ru-RU"/>
              </w:rPr>
              <w:t>278,5</w:t>
            </w:r>
          </w:p>
        </w:tc>
        <w:tc>
          <w:tcPr>
            <w:tcW w:w="851"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
                <w:bCs/>
                <w:iCs/>
                <w:color w:val="000000"/>
                <w:sz w:val="20"/>
                <w:szCs w:val="20"/>
                <w:lang w:val="ro-RO" w:eastAsia="ru-RU"/>
              </w:rPr>
            </w:pPr>
            <w:r w:rsidRPr="00E4283E">
              <w:rPr>
                <w:rFonts w:ascii="Times New Roman" w:eastAsia="Times New Roman" w:hAnsi="Times New Roman"/>
                <w:b/>
                <w:bCs/>
                <w:iCs/>
                <w:color w:val="000000"/>
                <w:sz w:val="20"/>
                <w:szCs w:val="20"/>
                <w:lang w:val="ro-RO" w:eastAsia="ru-RU"/>
              </w:rPr>
              <w:t>105,0</w:t>
            </w:r>
          </w:p>
        </w:tc>
        <w:tc>
          <w:tcPr>
            <w:tcW w:w="1275" w:type="dxa"/>
            <w:tcBorders>
              <w:top w:val="nil"/>
              <w:left w:val="nil"/>
              <w:bottom w:val="single" w:sz="8" w:space="0" w:color="auto"/>
              <w:right w:val="single" w:sz="8" w:space="0" w:color="auto"/>
            </w:tcBorders>
            <w:shd w:val="clear" w:color="auto" w:fill="auto"/>
            <w:noWrap/>
            <w:vAlign w:val="center"/>
          </w:tcPr>
          <w:p w:rsidR="00F24302" w:rsidRPr="00E4283E" w:rsidRDefault="00F24302" w:rsidP="006B6AE0">
            <w:pPr>
              <w:spacing w:after="0" w:line="240" w:lineRule="auto"/>
              <w:jc w:val="center"/>
              <w:rPr>
                <w:rFonts w:ascii="Times New Roman" w:eastAsia="Times New Roman" w:hAnsi="Times New Roman"/>
                <w:b/>
                <w:bCs/>
                <w:color w:val="000000"/>
                <w:sz w:val="20"/>
                <w:szCs w:val="20"/>
                <w:lang w:val="ro-RO" w:eastAsia="ru-RU"/>
              </w:rPr>
            </w:pPr>
            <w:r w:rsidRPr="00E4283E">
              <w:rPr>
                <w:rFonts w:ascii="Times New Roman" w:eastAsia="Times New Roman" w:hAnsi="Times New Roman"/>
                <w:b/>
                <w:bCs/>
                <w:color w:val="000000"/>
                <w:sz w:val="20"/>
                <w:szCs w:val="20"/>
                <w:lang w:val="ro-RO" w:eastAsia="ru-RU"/>
              </w:rPr>
              <w:t>32,2</w:t>
            </w:r>
          </w:p>
        </w:tc>
      </w:tr>
    </w:tbl>
    <w:p w:rsidR="00F24302" w:rsidRPr="00121F51" w:rsidRDefault="00F24302" w:rsidP="00F24302">
      <w:pPr>
        <w:spacing w:after="0" w:line="240" w:lineRule="auto"/>
        <w:ind w:left="142" w:firstLine="425"/>
        <w:jc w:val="both"/>
        <w:rPr>
          <w:rFonts w:ascii="Times New Roman" w:eastAsia="Times New Roman" w:hAnsi="Times New Roman"/>
          <w:sz w:val="20"/>
          <w:szCs w:val="20"/>
          <w:lang w:val="ro-RO"/>
        </w:rPr>
      </w:pPr>
      <w:r w:rsidRPr="00121F51">
        <w:rPr>
          <w:rFonts w:ascii="Times New Roman" w:eastAsia="Times New Roman" w:hAnsi="Times New Roman"/>
          <w:b/>
          <w:bCs/>
          <w:i/>
          <w:iCs/>
          <w:sz w:val="20"/>
          <w:szCs w:val="20"/>
          <w:lang w:val="ro-RO"/>
        </w:rPr>
        <w:t xml:space="preserve">Sursă: </w:t>
      </w:r>
      <w:r w:rsidRPr="00121F51">
        <w:rPr>
          <w:rFonts w:ascii="Times New Roman" w:eastAsia="Times New Roman" w:hAnsi="Times New Roman"/>
          <w:sz w:val="20"/>
          <w:szCs w:val="20"/>
          <w:lang w:val="ro-RO"/>
        </w:rPr>
        <w:t xml:space="preserve">Calculele și devizele de cheltuieli anexate la aprobarea bugetelor pentru anul 2015, prezentate de entitățile auditate; calculele și estimările echipei de audit efectuate în baza informațiilor prezentate de AAPL supuse auditării; </w:t>
      </w:r>
      <w:r w:rsidRPr="00121F51">
        <w:rPr>
          <w:rFonts w:ascii="Times New Roman" w:hAnsi="Times New Roman"/>
          <w:sz w:val="20"/>
          <w:szCs w:val="20"/>
          <w:lang w:val="ro-RO"/>
        </w:rPr>
        <w:t>fișele de achitare a salariului</w:t>
      </w:r>
      <w:r w:rsidRPr="00121F51">
        <w:rPr>
          <w:rFonts w:ascii="Times New Roman" w:eastAsia="Times New Roman" w:hAnsi="Times New Roman"/>
          <w:sz w:val="20"/>
          <w:szCs w:val="20"/>
          <w:lang w:val="ro-RO"/>
        </w:rPr>
        <w:t>.</w:t>
      </w:r>
    </w:p>
    <w:p w:rsidR="00F24302" w:rsidRPr="00121F51" w:rsidRDefault="00F24302" w:rsidP="00F24302">
      <w:pPr>
        <w:spacing w:after="0" w:line="240" w:lineRule="auto"/>
        <w:ind w:firstLine="567"/>
        <w:jc w:val="both"/>
        <w:rPr>
          <w:rFonts w:ascii="Times New Roman" w:eastAsia="Times New Roman" w:hAnsi="Times New Roman"/>
          <w:sz w:val="20"/>
          <w:szCs w:val="20"/>
          <w:lang w:val="ro-RO"/>
        </w:rPr>
      </w:pPr>
    </w:p>
    <w:p w:rsidR="00F24302" w:rsidRPr="00121F51" w:rsidRDefault="00F24302" w:rsidP="00F24302">
      <w:pPr>
        <w:spacing w:after="0" w:line="240" w:lineRule="auto"/>
        <w:jc w:val="right"/>
        <w:rPr>
          <w:rFonts w:ascii="Times New Roman" w:hAnsi="Times New Roman"/>
          <w:b/>
          <w:sz w:val="20"/>
          <w:szCs w:val="20"/>
          <w:lang w:val="ro-RO"/>
        </w:rPr>
      </w:pPr>
    </w:p>
    <w:p w:rsidR="00F24302" w:rsidRPr="00121F51" w:rsidRDefault="00F24302" w:rsidP="00F24302">
      <w:pPr>
        <w:spacing w:after="0" w:line="240" w:lineRule="auto"/>
        <w:jc w:val="right"/>
        <w:rPr>
          <w:rFonts w:ascii="Times New Roman" w:hAnsi="Times New Roman"/>
          <w:b/>
          <w:sz w:val="20"/>
          <w:szCs w:val="20"/>
          <w:lang w:val="ro-RO"/>
        </w:rPr>
      </w:pPr>
    </w:p>
    <w:p w:rsidR="00F24302" w:rsidRPr="00121F51" w:rsidRDefault="00F24302" w:rsidP="00F24302">
      <w:pPr>
        <w:spacing w:after="0" w:line="240" w:lineRule="auto"/>
        <w:jc w:val="right"/>
        <w:rPr>
          <w:rFonts w:ascii="Times New Roman" w:hAnsi="Times New Roman"/>
          <w:b/>
          <w:sz w:val="20"/>
          <w:szCs w:val="20"/>
          <w:lang w:val="ro-RO"/>
        </w:rPr>
      </w:pPr>
    </w:p>
    <w:p w:rsidR="00F24302" w:rsidRPr="006B39E3" w:rsidRDefault="00F24302" w:rsidP="00F24302">
      <w:pPr>
        <w:tabs>
          <w:tab w:val="left" w:pos="6521"/>
        </w:tabs>
        <w:spacing w:after="0" w:line="240" w:lineRule="auto"/>
        <w:jc w:val="right"/>
        <w:rPr>
          <w:rFonts w:ascii="Times New Roman" w:eastAsia="Times New Roman" w:hAnsi="Times New Roman"/>
          <w:b/>
          <w:sz w:val="24"/>
          <w:szCs w:val="24"/>
          <w:lang w:val="ro-RO"/>
        </w:rPr>
      </w:pPr>
      <w:r w:rsidRPr="006B39E3">
        <w:rPr>
          <w:rFonts w:ascii="Times New Roman" w:eastAsia="Times New Roman" w:hAnsi="Times New Roman"/>
          <w:b/>
          <w:sz w:val="24"/>
          <w:szCs w:val="24"/>
          <w:lang w:val="ro-RO"/>
        </w:rPr>
        <w:lastRenderedPageBreak/>
        <w:t>Anexa nr.9</w:t>
      </w:r>
    </w:p>
    <w:p w:rsidR="00F24302" w:rsidRPr="006B39E3" w:rsidRDefault="00F24302" w:rsidP="00F24302">
      <w:pPr>
        <w:spacing w:after="0" w:line="240" w:lineRule="auto"/>
        <w:jc w:val="center"/>
        <w:rPr>
          <w:rFonts w:ascii="Times New Roman" w:eastAsia="Times New Roman" w:hAnsi="Times New Roman"/>
          <w:b/>
          <w:sz w:val="24"/>
          <w:szCs w:val="24"/>
          <w:lang w:val="ro-RO"/>
        </w:rPr>
      </w:pPr>
      <w:r w:rsidRPr="006B39E3">
        <w:rPr>
          <w:rFonts w:ascii="Times New Roman" w:eastAsia="Times New Roman" w:hAnsi="Times New Roman"/>
          <w:b/>
          <w:sz w:val="24"/>
          <w:szCs w:val="24"/>
          <w:lang w:val="ro-RO"/>
        </w:rPr>
        <w:t xml:space="preserve">Generalizarea deficiențelor constatate la Obiectivul II din Raportul de audit </w:t>
      </w:r>
    </w:p>
    <w:p w:rsidR="00F24302" w:rsidRPr="006B39E3" w:rsidRDefault="00F24302" w:rsidP="00F24302">
      <w:pPr>
        <w:spacing w:after="0" w:line="240" w:lineRule="auto"/>
        <w:jc w:val="center"/>
        <w:rPr>
          <w:rFonts w:ascii="Times New Roman" w:eastAsia="Times New Roman" w:hAnsi="Times New Roman"/>
          <w:b/>
          <w:sz w:val="24"/>
          <w:szCs w:val="24"/>
          <w:lang w:val="ro-RO"/>
        </w:rPr>
      </w:pPr>
      <w:r w:rsidRPr="006B39E3">
        <w:rPr>
          <w:rFonts w:ascii="Times New Roman" w:eastAsia="Times New Roman" w:hAnsi="Times New Roman"/>
          <w:b/>
          <w:sz w:val="24"/>
          <w:szCs w:val="24"/>
          <w:lang w:val="ro-RO"/>
        </w:rPr>
        <w:t>(cheltuieli care nu țin de competența autorității publice locale și care nu au fost destinate asigurării funcționării instituțiilor publice și serviciilor publice din unitatea administrativ-teritorială respectivă)</w:t>
      </w:r>
    </w:p>
    <w:p w:rsidR="00F24302" w:rsidRPr="003F09F4" w:rsidRDefault="00F24302" w:rsidP="00F24302">
      <w:pPr>
        <w:spacing w:after="0" w:line="240" w:lineRule="auto"/>
        <w:ind w:left="12762"/>
        <w:jc w:val="center"/>
        <w:rPr>
          <w:rFonts w:ascii="Times New Roman" w:hAnsi="Times New Roman"/>
          <w:i/>
          <w:sz w:val="20"/>
          <w:szCs w:val="20"/>
          <w:lang w:val="ro-RO"/>
        </w:rPr>
      </w:pPr>
      <w:r>
        <w:rPr>
          <w:rFonts w:ascii="Times New Roman" w:hAnsi="Times New Roman"/>
          <w:sz w:val="20"/>
          <w:szCs w:val="20"/>
          <w:lang w:val="ro-RO"/>
        </w:rPr>
        <w:t xml:space="preserve">  </w:t>
      </w:r>
      <w:r w:rsidRPr="00121F51">
        <w:rPr>
          <w:rFonts w:ascii="Times New Roman" w:hAnsi="Times New Roman"/>
          <w:sz w:val="20"/>
          <w:szCs w:val="20"/>
          <w:lang w:val="ro-RO"/>
        </w:rPr>
        <w:t xml:space="preserve"> </w:t>
      </w:r>
      <w:r w:rsidRPr="003F09F4">
        <w:rPr>
          <w:rFonts w:ascii="Times New Roman" w:hAnsi="Times New Roman"/>
          <w:i/>
          <w:sz w:val="20"/>
          <w:szCs w:val="20"/>
          <w:lang w:val="ro-RO"/>
        </w:rPr>
        <w:t>(mii lei)</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12474"/>
      </w:tblGrid>
      <w:tr w:rsidR="00F24302" w:rsidRPr="003D14BB" w:rsidTr="006B6AE0">
        <w:trPr>
          <w:trHeight w:val="546"/>
        </w:trPr>
        <w:tc>
          <w:tcPr>
            <w:tcW w:w="1843" w:type="dxa"/>
            <w:vAlign w:val="center"/>
          </w:tcPr>
          <w:p w:rsidR="00F24302" w:rsidRPr="00E4283E" w:rsidRDefault="00F24302" w:rsidP="006B6AE0">
            <w:pPr>
              <w:spacing w:after="0" w:line="240" w:lineRule="auto"/>
              <w:jc w:val="center"/>
              <w:rPr>
                <w:rFonts w:ascii="Times New Roman" w:eastAsia="Times New Roman" w:hAnsi="Times New Roman"/>
                <w:b/>
                <w:sz w:val="20"/>
                <w:szCs w:val="20"/>
                <w:lang w:val="ro-RO" w:eastAsia="ja-JP"/>
              </w:rPr>
            </w:pPr>
            <w:r w:rsidRPr="00E4283E">
              <w:rPr>
                <w:rFonts w:ascii="Times New Roman" w:eastAsia="Times New Roman" w:hAnsi="Times New Roman"/>
                <w:b/>
                <w:sz w:val="20"/>
                <w:szCs w:val="20"/>
                <w:lang w:val="ro-RO" w:eastAsia="ja-JP"/>
              </w:rPr>
              <w:t>Tipul de buget</w:t>
            </w:r>
          </w:p>
        </w:tc>
        <w:tc>
          <w:tcPr>
            <w:tcW w:w="709" w:type="dxa"/>
            <w:vAlign w:val="center"/>
          </w:tcPr>
          <w:p w:rsidR="00F24302" w:rsidRPr="00E4283E" w:rsidRDefault="00F24302" w:rsidP="006B6AE0">
            <w:pPr>
              <w:spacing w:after="0" w:line="240" w:lineRule="auto"/>
              <w:jc w:val="center"/>
              <w:rPr>
                <w:rFonts w:ascii="Times New Roman" w:eastAsia="Times New Roman" w:hAnsi="Times New Roman"/>
                <w:b/>
                <w:sz w:val="20"/>
                <w:szCs w:val="20"/>
                <w:lang w:val="ro-RO" w:eastAsia="ja-JP"/>
              </w:rPr>
            </w:pPr>
          </w:p>
          <w:p w:rsidR="00F24302" w:rsidRPr="00E4283E" w:rsidRDefault="00F24302" w:rsidP="006B6AE0">
            <w:pPr>
              <w:spacing w:after="0" w:line="240" w:lineRule="auto"/>
              <w:jc w:val="center"/>
              <w:rPr>
                <w:rFonts w:ascii="Times New Roman" w:eastAsia="Times New Roman" w:hAnsi="Times New Roman"/>
                <w:b/>
                <w:sz w:val="20"/>
                <w:szCs w:val="20"/>
                <w:lang w:val="ro-RO" w:eastAsia="ja-JP"/>
              </w:rPr>
            </w:pPr>
            <w:r w:rsidRPr="00E4283E">
              <w:rPr>
                <w:rFonts w:ascii="Times New Roman" w:eastAsia="Times New Roman" w:hAnsi="Times New Roman"/>
                <w:b/>
                <w:sz w:val="20"/>
                <w:szCs w:val="20"/>
                <w:lang w:val="ro-RO" w:eastAsia="ja-JP"/>
              </w:rPr>
              <w:t>Suma</w:t>
            </w:r>
          </w:p>
          <w:p w:rsidR="00F24302" w:rsidRPr="00E4283E" w:rsidRDefault="00F24302" w:rsidP="006B6AE0">
            <w:pPr>
              <w:spacing w:after="0" w:line="240" w:lineRule="auto"/>
              <w:jc w:val="both"/>
              <w:rPr>
                <w:rFonts w:ascii="Times New Roman" w:eastAsia="Times New Roman" w:hAnsi="Times New Roman"/>
                <w:b/>
                <w:sz w:val="20"/>
                <w:szCs w:val="20"/>
                <w:lang w:val="ro-RO" w:eastAsia="ja-JP"/>
              </w:rPr>
            </w:pPr>
          </w:p>
        </w:tc>
        <w:tc>
          <w:tcPr>
            <w:tcW w:w="12474" w:type="dxa"/>
            <w:vAlign w:val="center"/>
          </w:tcPr>
          <w:p w:rsidR="00F24302" w:rsidRPr="00E4283E" w:rsidRDefault="00F24302" w:rsidP="006B6AE0">
            <w:pPr>
              <w:spacing w:after="0" w:line="240" w:lineRule="auto"/>
              <w:jc w:val="both"/>
              <w:rPr>
                <w:rFonts w:ascii="Times New Roman" w:eastAsia="Times New Roman" w:hAnsi="Times New Roman"/>
                <w:b/>
                <w:sz w:val="20"/>
                <w:szCs w:val="20"/>
                <w:lang w:val="ro-RO" w:eastAsia="ja-JP"/>
              </w:rPr>
            </w:pPr>
            <w:r w:rsidRPr="00E4283E">
              <w:rPr>
                <w:rFonts w:ascii="Times New Roman" w:eastAsia="Times New Roman" w:hAnsi="Times New Roman"/>
                <w:b/>
                <w:sz w:val="20"/>
                <w:szCs w:val="20"/>
                <w:lang w:val="ro-RO" w:eastAsia="ja-JP"/>
              </w:rPr>
              <w:t>Cheltuieli care nu țin de competența autorității publice locale și care nu au fost destinate asigurării funcționării instituțiilor publice și serviciilor publice din unitatea administrativ-teritorială respectivă</w:t>
            </w:r>
          </w:p>
        </w:tc>
      </w:tr>
      <w:tr w:rsidR="00F24302" w:rsidRPr="003D14BB" w:rsidTr="006B6AE0">
        <w:tc>
          <w:tcPr>
            <w:tcW w:w="1843" w:type="dxa"/>
            <w:vAlign w:val="center"/>
          </w:tcPr>
          <w:p w:rsidR="00F24302" w:rsidRPr="00E4283E" w:rsidRDefault="00F24302" w:rsidP="006B6AE0">
            <w:pPr>
              <w:spacing w:after="0" w:line="240" w:lineRule="auto"/>
              <w:rPr>
                <w:rFonts w:ascii="Times New Roman" w:eastAsia="Times New Roman" w:hAnsi="Times New Roman"/>
                <w:b/>
                <w:sz w:val="20"/>
                <w:szCs w:val="20"/>
                <w:lang w:val="ro-RO" w:eastAsia="ja-JP"/>
              </w:rPr>
            </w:pPr>
            <w:r w:rsidRPr="00E4283E">
              <w:rPr>
                <w:rFonts w:ascii="Times New Roman" w:eastAsia="Times New Roman" w:hAnsi="Times New Roman"/>
                <w:b/>
                <w:sz w:val="20"/>
                <w:szCs w:val="20"/>
                <w:lang w:val="ro-RO" w:eastAsia="ja-JP"/>
              </w:rPr>
              <w:t>Aparatul președintelui raionului</w:t>
            </w:r>
          </w:p>
        </w:tc>
        <w:tc>
          <w:tcPr>
            <w:tcW w:w="709" w:type="dxa"/>
            <w:vAlign w:val="center"/>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220,5</w:t>
            </w:r>
          </w:p>
        </w:tc>
        <w:tc>
          <w:tcPr>
            <w:tcW w:w="12474" w:type="dxa"/>
            <w:vAlign w:val="center"/>
          </w:tcPr>
          <w:p w:rsidR="00F24302" w:rsidRPr="00E4283E" w:rsidRDefault="00F24302" w:rsidP="006B6AE0">
            <w:pPr>
              <w:spacing w:after="0" w:line="240" w:lineRule="auto"/>
              <w:jc w:val="both"/>
              <w:rPr>
                <w:rFonts w:ascii="Times New Roman" w:eastAsia="Times New Roman" w:hAnsi="Times New Roman"/>
                <w:color w:val="000000"/>
                <w:sz w:val="20"/>
                <w:szCs w:val="20"/>
                <w:lang w:val="ro-RO" w:eastAsia="ja-JP"/>
              </w:rPr>
            </w:pPr>
            <w:r w:rsidRPr="00E4283E">
              <w:rPr>
                <w:rFonts w:ascii="Times New Roman" w:eastAsia="Times New Roman" w:hAnsi="Times New Roman"/>
                <w:color w:val="000000"/>
                <w:sz w:val="20"/>
                <w:szCs w:val="20"/>
                <w:lang w:val="ro-RO" w:eastAsia="ja-JP"/>
              </w:rPr>
              <w:t xml:space="preserve">Alimentația participanților în cadrul măsurii de premiere a sportivilor de performanță – 10,0 mii lei; </w:t>
            </w:r>
            <w:r w:rsidRPr="00E4283E">
              <w:rPr>
                <w:rFonts w:ascii="Times New Roman" w:eastAsia="Times New Roman" w:hAnsi="Times New Roman"/>
                <w:sz w:val="20"/>
                <w:szCs w:val="20"/>
                <w:lang w:val="ro-RO" w:eastAsia="ja-JP"/>
              </w:rPr>
              <w:t>întreținerea și reparația stadionului din or. Sîngerei, care se află în proprietatea unei asociații obștești – 56,2 mii lei; susținerea materială a activității A.O. „Asociația raională de fotbal”, această finanțare fiind efectuată în afara unei activități sau măsuri sportive planificate în buget – 10,0 mii lei; organizarea alimentației la masa comemorativă pentru veteranii războiului din Afganistan, participanții la luptele pentru apărarea integrității teritoriale și independenței RM și participanții la lichidarea avariei de la Cernobîl – 20,9 mii lei; acordarea cadourilor urătorilor – 9,6 mii lei; premierea lucrătorilor din domeniul agriculturii pentru rezultatele economice obținute și organizarea mesei de sărbătoare – 71,7 mii lei; premierea conducătorilor agenților economici din domeniul agriculturii pentru rezultatele economice obținute – 42,1 mii lei</w:t>
            </w:r>
          </w:p>
        </w:tc>
      </w:tr>
      <w:tr w:rsidR="00F24302" w:rsidRPr="003D14BB" w:rsidTr="006B6AE0">
        <w:tc>
          <w:tcPr>
            <w:tcW w:w="1843" w:type="dxa"/>
            <w:vAlign w:val="center"/>
          </w:tcPr>
          <w:p w:rsidR="00F24302" w:rsidRPr="00E4283E" w:rsidRDefault="00F24302" w:rsidP="006B6AE0">
            <w:pPr>
              <w:spacing w:after="0" w:line="240" w:lineRule="auto"/>
              <w:rPr>
                <w:rFonts w:ascii="Times New Roman" w:eastAsia="Times New Roman" w:hAnsi="Times New Roman"/>
                <w:b/>
                <w:sz w:val="20"/>
                <w:szCs w:val="20"/>
                <w:lang w:val="ro-RO" w:eastAsia="ja-JP"/>
              </w:rPr>
            </w:pPr>
            <w:r w:rsidRPr="00E4283E">
              <w:rPr>
                <w:rFonts w:ascii="Times New Roman" w:eastAsia="Times New Roman" w:hAnsi="Times New Roman"/>
                <w:b/>
                <w:sz w:val="20"/>
                <w:szCs w:val="20"/>
                <w:lang w:val="ro-RO" w:eastAsia="ja-JP"/>
              </w:rPr>
              <w:t>Primăria or. Sîngerei</w:t>
            </w:r>
          </w:p>
        </w:tc>
        <w:tc>
          <w:tcPr>
            <w:tcW w:w="709" w:type="dxa"/>
            <w:vAlign w:val="center"/>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26,3</w:t>
            </w:r>
          </w:p>
        </w:tc>
        <w:tc>
          <w:tcPr>
            <w:tcW w:w="12474" w:type="dxa"/>
            <w:vAlign w:val="center"/>
          </w:tcPr>
          <w:p w:rsidR="00F24302" w:rsidRPr="00E4283E" w:rsidRDefault="00F24302" w:rsidP="006B6AE0">
            <w:pPr>
              <w:spacing w:after="0" w:line="240" w:lineRule="auto"/>
              <w:jc w:val="both"/>
              <w:rPr>
                <w:rFonts w:ascii="Times New Roman" w:eastAsia="Times New Roman" w:hAnsi="Times New Roman"/>
                <w:color w:val="000000"/>
                <w:sz w:val="20"/>
                <w:szCs w:val="20"/>
                <w:lang w:val="ro-RO" w:eastAsia="ja-JP"/>
              </w:rPr>
            </w:pPr>
            <w:r w:rsidRPr="00E4283E">
              <w:rPr>
                <w:rFonts w:ascii="Times New Roman" w:eastAsia="Times New Roman" w:hAnsi="Times New Roman"/>
                <w:color w:val="000000"/>
                <w:sz w:val="20"/>
                <w:szCs w:val="20"/>
                <w:lang w:val="ro-RO" w:eastAsia="ja-JP"/>
              </w:rPr>
              <w:t xml:space="preserve">Procurarea și acordarea cadourilor de Anul Nou copiilor din grădinițe – 17,3 mii lei; procurarea florilor de ziua poliției și cu ocazia jubileului unui consilier – 0,5 mii lei; </w:t>
            </w:r>
            <w:r w:rsidRPr="00E4283E">
              <w:rPr>
                <w:rFonts w:ascii="Times New Roman" w:eastAsia="Times New Roman" w:hAnsi="Times New Roman"/>
                <w:sz w:val="20"/>
                <w:szCs w:val="20"/>
                <w:lang w:val="ro-RO" w:eastAsia="ja-JP"/>
              </w:rPr>
              <w:t xml:space="preserve">acordarea cadourilor </w:t>
            </w:r>
            <w:r w:rsidRPr="00E4283E">
              <w:rPr>
                <w:rFonts w:ascii="Times New Roman" w:eastAsia="Times New Roman" w:hAnsi="Times New Roman"/>
                <w:color w:val="000000"/>
                <w:sz w:val="20"/>
                <w:szCs w:val="20"/>
                <w:lang w:val="ro-RO" w:eastAsia="ja-JP"/>
              </w:rPr>
              <w:t>urătorilor – 2,0 mii lei; premierea colaboratorilor de poliție – 1,3 mii lei; acordarea carburanților sectorului de poliție (5,2 mii lei – 30 litri lunar)</w:t>
            </w:r>
          </w:p>
        </w:tc>
      </w:tr>
      <w:tr w:rsidR="00F24302" w:rsidRPr="003D14BB" w:rsidTr="006B6AE0">
        <w:tc>
          <w:tcPr>
            <w:tcW w:w="1843" w:type="dxa"/>
            <w:vAlign w:val="center"/>
          </w:tcPr>
          <w:p w:rsidR="00F24302" w:rsidRPr="00E4283E" w:rsidRDefault="00F24302" w:rsidP="006B6AE0">
            <w:pPr>
              <w:spacing w:after="0" w:line="240" w:lineRule="auto"/>
              <w:rPr>
                <w:rFonts w:ascii="Times New Roman" w:eastAsia="Times New Roman" w:hAnsi="Times New Roman"/>
                <w:b/>
                <w:sz w:val="20"/>
                <w:szCs w:val="20"/>
                <w:lang w:val="ro-RO" w:eastAsia="ja-JP"/>
              </w:rPr>
            </w:pPr>
            <w:r w:rsidRPr="00E4283E">
              <w:rPr>
                <w:rFonts w:ascii="Times New Roman" w:eastAsia="Times New Roman" w:hAnsi="Times New Roman"/>
                <w:b/>
                <w:sz w:val="20"/>
                <w:szCs w:val="20"/>
                <w:lang w:val="ro-RO" w:eastAsia="ja-JP"/>
              </w:rPr>
              <w:t>Primăria or. Biruința</w:t>
            </w:r>
          </w:p>
        </w:tc>
        <w:tc>
          <w:tcPr>
            <w:tcW w:w="709" w:type="dxa"/>
            <w:vAlign w:val="center"/>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17,0</w:t>
            </w:r>
          </w:p>
        </w:tc>
        <w:tc>
          <w:tcPr>
            <w:tcW w:w="12474" w:type="dxa"/>
            <w:vAlign w:val="center"/>
          </w:tcPr>
          <w:p w:rsidR="00F24302" w:rsidRPr="00E4283E" w:rsidRDefault="00F24302" w:rsidP="006B6AE0">
            <w:pPr>
              <w:spacing w:after="0" w:line="240" w:lineRule="auto"/>
              <w:jc w:val="both"/>
              <w:rPr>
                <w:rFonts w:ascii="Times New Roman" w:eastAsia="Times New Roman" w:hAnsi="Times New Roman"/>
                <w:color w:val="000000"/>
                <w:sz w:val="20"/>
                <w:szCs w:val="20"/>
                <w:lang w:val="ro-RO" w:eastAsia="ja-JP"/>
              </w:rPr>
            </w:pPr>
            <w:r w:rsidRPr="00E4283E">
              <w:rPr>
                <w:rFonts w:ascii="Times New Roman" w:eastAsia="Times New Roman" w:hAnsi="Times New Roman"/>
                <w:color w:val="000000"/>
                <w:sz w:val="20"/>
                <w:szCs w:val="20"/>
                <w:lang w:val="ro-RO" w:eastAsia="ja-JP"/>
              </w:rPr>
              <w:t>Procurarea și acordarea cadourilor cu ocazia zilelor de sărbătoare – 11,8 mii lei; suport financiar combatanților din Afganistan și participanților la luptele pentru apărarea integrității teritoriale și independenței RM – 3,2 mii lei; organizarea sărbătorii Ziua spicului (produse alimentare) – 2,0 mii lei</w:t>
            </w:r>
          </w:p>
        </w:tc>
      </w:tr>
      <w:tr w:rsidR="00F24302" w:rsidRPr="003D14BB" w:rsidTr="006B6AE0">
        <w:tc>
          <w:tcPr>
            <w:tcW w:w="1843" w:type="dxa"/>
            <w:vAlign w:val="center"/>
          </w:tcPr>
          <w:p w:rsidR="00F24302" w:rsidRPr="00E4283E" w:rsidRDefault="00F24302" w:rsidP="006B6AE0">
            <w:pPr>
              <w:spacing w:after="0" w:line="240" w:lineRule="auto"/>
              <w:rPr>
                <w:rFonts w:ascii="Times New Roman" w:eastAsia="Times New Roman" w:hAnsi="Times New Roman"/>
                <w:b/>
                <w:sz w:val="20"/>
                <w:szCs w:val="20"/>
                <w:lang w:val="ro-RO" w:eastAsia="ja-JP"/>
              </w:rPr>
            </w:pPr>
            <w:r w:rsidRPr="00E4283E">
              <w:rPr>
                <w:rFonts w:ascii="Times New Roman" w:eastAsia="Times New Roman" w:hAnsi="Times New Roman"/>
                <w:b/>
                <w:sz w:val="20"/>
                <w:szCs w:val="20"/>
                <w:lang w:val="ro-RO" w:eastAsia="ja-JP"/>
              </w:rPr>
              <w:t>Primăria com. Chișcăreni</w:t>
            </w:r>
          </w:p>
        </w:tc>
        <w:tc>
          <w:tcPr>
            <w:tcW w:w="709" w:type="dxa"/>
            <w:vAlign w:val="center"/>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37,8</w:t>
            </w:r>
          </w:p>
        </w:tc>
        <w:tc>
          <w:tcPr>
            <w:tcW w:w="12474" w:type="dxa"/>
            <w:vAlign w:val="center"/>
          </w:tcPr>
          <w:p w:rsidR="00F24302" w:rsidRPr="00E4283E" w:rsidRDefault="00F24302" w:rsidP="006B6AE0">
            <w:pPr>
              <w:spacing w:after="0" w:line="240" w:lineRule="auto"/>
              <w:jc w:val="both"/>
              <w:rPr>
                <w:rFonts w:ascii="Times New Roman" w:eastAsia="Times New Roman" w:hAnsi="Times New Roman"/>
                <w:color w:val="000000"/>
                <w:sz w:val="20"/>
                <w:szCs w:val="20"/>
                <w:lang w:val="ro-RO" w:eastAsia="ja-JP"/>
              </w:rPr>
            </w:pPr>
            <w:r w:rsidRPr="00E4283E">
              <w:rPr>
                <w:rFonts w:ascii="Times New Roman" w:eastAsia="Times New Roman" w:hAnsi="Times New Roman"/>
                <w:color w:val="000000"/>
                <w:sz w:val="20"/>
                <w:szCs w:val="20"/>
                <w:lang w:val="ro-RO" w:eastAsia="ja-JP"/>
              </w:rPr>
              <w:t>Procurarea și acordarea cadourilor de Anul Nou copiilor din grădiniță – 8,1 mii lei; procurarea produselor alimentare pentru sărbătoarea de 8 Martie – 4,4 mii lei; procurarea produselor alimentare pentru masa de pomenire cu ocazia acordării titlului de cetățean de onoare al localității – 7,5 mii lei; organizarea mesei de pomenire de 9 Mai – 3,5 mii lei; organizarea mesei de pomenire pentru persoanele deportate – 0,5 mii lei; acordarea cadourilor foștilor lucrători din zootehnie – 2,6 mii lei; organizarea lansării serviciului comunal intercomunal – 3,7 mii lei; organizarea sărbătorii de Anul Nou – 5,0 mii lei; acordarea suportului financiar combatanților din Afganistan – 0,8 mii lei, participanților la luptele pentru apărarea integrității teritoriale și independenței RM – 1,6 mii lei, și participanților la lichidarea avariei de la Cernobîl – 0,1 mii lei</w:t>
            </w:r>
          </w:p>
        </w:tc>
      </w:tr>
      <w:tr w:rsidR="00F24302" w:rsidRPr="003D14BB" w:rsidTr="006B6AE0">
        <w:tc>
          <w:tcPr>
            <w:tcW w:w="1843" w:type="dxa"/>
            <w:vAlign w:val="center"/>
          </w:tcPr>
          <w:p w:rsidR="00F24302" w:rsidRPr="00E4283E" w:rsidRDefault="00F24302" w:rsidP="006B6AE0">
            <w:pPr>
              <w:spacing w:after="0" w:line="240" w:lineRule="auto"/>
              <w:rPr>
                <w:rFonts w:ascii="Times New Roman" w:eastAsia="Times New Roman" w:hAnsi="Times New Roman"/>
                <w:b/>
                <w:sz w:val="20"/>
                <w:szCs w:val="20"/>
                <w:lang w:val="ro-RO" w:eastAsia="ja-JP"/>
              </w:rPr>
            </w:pPr>
            <w:r w:rsidRPr="00E4283E">
              <w:rPr>
                <w:rFonts w:ascii="Times New Roman" w:eastAsia="Times New Roman" w:hAnsi="Times New Roman"/>
                <w:b/>
                <w:sz w:val="20"/>
                <w:szCs w:val="20"/>
                <w:lang w:val="ro-RO" w:eastAsia="ja-JP"/>
              </w:rPr>
              <w:t xml:space="preserve">Primăria com. Coșcodeni </w:t>
            </w:r>
          </w:p>
        </w:tc>
        <w:tc>
          <w:tcPr>
            <w:tcW w:w="709" w:type="dxa"/>
            <w:vAlign w:val="center"/>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6,0</w:t>
            </w:r>
          </w:p>
        </w:tc>
        <w:tc>
          <w:tcPr>
            <w:tcW w:w="12474" w:type="dxa"/>
            <w:vAlign w:val="center"/>
          </w:tcPr>
          <w:p w:rsidR="00F24302" w:rsidRPr="00E4283E" w:rsidRDefault="00F24302" w:rsidP="006B6AE0">
            <w:pPr>
              <w:spacing w:after="0" w:line="240" w:lineRule="auto"/>
              <w:jc w:val="both"/>
              <w:rPr>
                <w:rFonts w:ascii="Times New Roman" w:eastAsia="Times New Roman" w:hAnsi="Times New Roman"/>
                <w:color w:val="000000"/>
                <w:sz w:val="20"/>
                <w:szCs w:val="20"/>
                <w:lang w:val="ro-RO" w:eastAsia="ja-JP"/>
              </w:rPr>
            </w:pPr>
            <w:r w:rsidRPr="00E4283E">
              <w:rPr>
                <w:rFonts w:ascii="Times New Roman" w:eastAsia="Times New Roman" w:hAnsi="Times New Roman"/>
                <w:color w:val="000000"/>
                <w:sz w:val="20"/>
                <w:szCs w:val="20"/>
                <w:lang w:val="ro-RO" w:eastAsia="ja-JP"/>
              </w:rPr>
              <w:t>Procurarea și acordarea cadourilor de Anul Nou copiilor din grădiniță – 4,0 mii lei; premierea polițistului de sector cu ocazia zilei profesionale – 2,0 mii lei</w:t>
            </w:r>
          </w:p>
        </w:tc>
      </w:tr>
      <w:tr w:rsidR="00F24302" w:rsidRPr="003D14BB" w:rsidTr="006B6AE0">
        <w:tc>
          <w:tcPr>
            <w:tcW w:w="1843" w:type="dxa"/>
            <w:vAlign w:val="center"/>
          </w:tcPr>
          <w:p w:rsidR="00F24302" w:rsidRPr="00E4283E" w:rsidRDefault="00F24302" w:rsidP="006B6AE0">
            <w:pPr>
              <w:spacing w:after="0" w:line="240" w:lineRule="auto"/>
              <w:rPr>
                <w:rFonts w:ascii="Times New Roman" w:eastAsia="Times New Roman" w:hAnsi="Times New Roman"/>
                <w:b/>
                <w:sz w:val="20"/>
                <w:szCs w:val="20"/>
                <w:lang w:val="ro-RO" w:eastAsia="ja-JP"/>
              </w:rPr>
            </w:pPr>
            <w:r w:rsidRPr="00E4283E">
              <w:rPr>
                <w:rFonts w:ascii="Times New Roman" w:eastAsia="Times New Roman" w:hAnsi="Times New Roman"/>
                <w:b/>
                <w:sz w:val="20"/>
                <w:szCs w:val="20"/>
                <w:lang w:val="ro-RO" w:eastAsia="ja-JP"/>
              </w:rPr>
              <w:t>Primăria com. Cubolta</w:t>
            </w:r>
          </w:p>
        </w:tc>
        <w:tc>
          <w:tcPr>
            <w:tcW w:w="709" w:type="dxa"/>
            <w:vAlign w:val="center"/>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13,6</w:t>
            </w:r>
          </w:p>
        </w:tc>
        <w:tc>
          <w:tcPr>
            <w:tcW w:w="12474" w:type="dxa"/>
            <w:vAlign w:val="center"/>
          </w:tcPr>
          <w:p w:rsidR="00F24302" w:rsidRPr="00E4283E" w:rsidRDefault="00F24302" w:rsidP="006B6AE0">
            <w:pPr>
              <w:spacing w:after="0" w:line="240" w:lineRule="auto"/>
              <w:jc w:val="both"/>
              <w:rPr>
                <w:rFonts w:ascii="Times New Roman" w:eastAsia="Times New Roman" w:hAnsi="Times New Roman"/>
                <w:color w:val="000000"/>
                <w:sz w:val="20"/>
                <w:szCs w:val="20"/>
                <w:lang w:val="ro-RO" w:eastAsia="ja-JP"/>
              </w:rPr>
            </w:pPr>
            <w:r w:rsidRPr="00E4283E">
              <w:rPr>
                <w:rFonts w:ascii="Times New Roman" w:eastAsia="Times New Roman" w:hAnsi="Times New Roman"/>
                <w:color w:val="000000"/>
                <w:sz w:val="20"/>
                <w:szCs w:val="20"/>
                <w:lang w:val="ro-RO" w:eastAsia="ja-JP"/>
              </w:rPr>
              <w:t>Acordarea cadourilor de Anul Nou copiilor din grădiniță (1,6 mii lei) și procurarea rechizitelor școlare (1,1 mii lei) – 2,7 mii lei; acordarea cadourilor unice cu ocazia „Zilei Pedagogului” (dulciuri, biscuiți) – 1,9 mii lei; procurarea cadourilor cu ocazia zilei de 8 Martie (veselă) – 2,2 mii lei; procurarea cadourilor de „Ziua Pedagogului” (tablouri – 2,5 mii lei) și de Anul Nou (veselă – 4,3 mii lei) – 6,8 mii lei</w:t>
            </w:r>
          </w:p>
        </w:tc>
      </w:tr>
      <w:tr w:rsidR="00F24302" w:rsidRPr="003D14BB" w:rsidTr="006B6AE0">
        <w:tc>
          <w:tcPr>
            <w:tcW w:w="1843" w:type="dxa"/>
            <w:vAlign w:val="center"/>
          </w:tcPr>
          <w:p w:rsidR="00F24302" w:rsidRPr="00E4283E" w:rsidRDefault="00F24302" w:rsidP="006B6AE0">
            <w:pPr>
              <w:spacing w:after="0" w:line="240" w:lineRule="auto"/>
              <w:rPr>
                <w:rFonts w:ascii="Times New Roman" w:eastAsia="Times New Roman" w:hAnsi="Times New Roman"/>
                <w:b/>
                <w:sz w:val="20"/>
                <w:szCs w:val="20"/>
                <w:lang w:val="ro-RO" w:eastAsia="ja-JP"/>
              </w:rPr>
            </w:pPr>
            <w:r w:rsidRPr="00E4283E">
              <w:rPr>
                <w:rFonts w:ascii="Times New Roman" w:eastAsia="Times New Roman" w:hAnsi="Times New Roman"/>
                <w:b/>
                <w:sz w:val="20"/>
                <w:szCs w:val="20"/>
                <w:lang w:val="ro-RO" w:eastAsia="ja-JP"/>
              </w:rPr>
              <w:t>Primăria com. Drăgănești</w:t>
            </w:r>
          </w:p>
        </w:tc>
        <w:tc>
          <w:tcPr>
            <w:tcW w:w="709" w:type="dxa"/>
            <w:vAlign w:val="center"/>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13,4</w:t>
            </w:r>
          </w:p>
        </w:tc>
        <w:tc>
          <w:tcPr>
            <w:tcW w:w="12474" w:type="dxa"/>
            <w:vAlign w:val="center"/>
          </w:tcPr>
          <w:p w:rsidR="00F24302" w:rsidRPr="00E4283E" w:rsidRDefault="00F24302" w:rsidP="006B6AE0">
            <w:pPr>
              <w:spacing w:after="0" w:line="240" w:lineRule="auto"/>
              <w:jc w:val="both"/>
              <w:rPr>
                <w:rFonts w:ascii="Times New Roman" w:eastAsia="Times New Roman" w:hAnsi="Times New Roman"/>
                <w:color w:val="000000"/>
                <w:sz w:val="20"/>
                <w:szCs w:val="20"/>
                <w:lang w:val="ro-RO" w:eastAsia="ja-JP"/>
              </w:rPr>
            </w:pPr>
            <w:r w:rsidRPr="00E4283E">
              <w:rPr>
                <w:rFonts w:ascii="Times New Roman" w:eastAsia="Times New Roman" w:hAnsi="Times New Roman"/>
                <w:color w:val="000000"/>
                <w:sz w:val="20"/>
                <w:szCs w:val="20"/>
                <w:lang w:val="ro-RO" w:eastAsia="ja-JP"/>
              </w:rPr>
              <w:t>A</w:t>
            </w:r>
            <w:r w:rsidRPr="00E4283E">
              <w:rPr>
                <w:rFonts w:ascii="Times New Roman" w:eastAsia="Times New Roman" w:hAnsi="Times New Roman"/>
                <w:sz w:val="20"/>
                <w:szCs w:val="20"/>
                <w:lang w:val="ro-RO" w:eastAsia="ja-JP"/>
              </w:rPr>
              <w:t xml:space="preserve">cordarea cadourilor </w:t>
            </w:r>
            <w:r w:rsidRPr="00E4283E">
              <w:rPr>
                <w:rFonts w:ascii="Times New Roman" w:eastAsia="Times New Roman" w:hAnsi="Times New Roman"/>
                <w:color w:val="000000"/>
                <w:sz w:val="20"/>
                <w:szCs w:val="20"/>
                <w:lang w:val="ro-RO" w:eastAsia="ja-JP"/>
              </w:rPr>
              <w:t>urătorilor de către autoritatea executivă a primăriei – 2,5 mii lei; procurarea și acordarea cadourilor de Anul Nou copiilor din grădinițe – 8,7 mii lei; acordarea suportului financiar participanților la cel de-al doilea război mondial și participanților la luptele pentru apărarea integrității teritoriale și independenței RM (13 persoane) – 2,2 mii lei</w:t>
            </w:r>
          </w:p>
        </w:tc>
      </w:tr>
      <w:tr w:rsidR="00F24302" w:rsidRPr="003D14BB" w:rsidTr="006B6AE0">
        <w:tc>
          <w:tcPr>
            <w:tcW w:w="1843" w:type="dxa"/>
            <w:vAlign w:val="center"/>
          </w:tcPr>
          <w:p w:rsidR="00F24302" w:rsidRPr="00E4283E" w:rsidRDefault="00F24302" w:rsidP="006B6AE0">
            <w:pPr>
              <w:spacing w:after="0" w:line="240" w:lineRule="auto"/>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Primăria com. Rădoaia</w:t>
            </w:r>
          </w:p>
        </w:tc>
        <w:tc>
          <w:tcPr>
            <w:tcW w:w="709" w:type="dxa"/>
            <w:vAlign w:val="center"/>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14,2</w:t>
            </w:r>
          </w:p>
        </w:tc>
        <w:tc>
          <w:tcPr>
            <w:tcW w:w="12474" w:type="dxa"/>
            <w:vAlign w:val="center"/>
          </w:tcPr>
          <w:p w:rsidR="00F24302" w:rsidRPr="00E4283E" w:rsidRDefault="00F24302" w:rsidP="006B6AE0">
            <w:pPr>
              <w:spacing w:after="0" w:line="240" w:lineRule="auto"/>
              <w:jc w:val="both"/>
              <w:rPr>
                <w:rFonts w:ascii="Times New Roman" w:eastAsia="Times New Roman" w:hAnsi="Times New Roman"/>
                <w:color w:val="000000"/>
                <w:sz w:val="20"/>
                <w:szCs w:val="20"/>
                <w:lang w:val="ro-RO" w:eastAsia="ja-JP"/>
              </w:rPr>
            </w:pPr>
            <w:r w:rsidRPr="00E4283E">
              <w:rPr>
                <w:rFonts w:ascii="Times New Roman" w:eastAsia="Times New Roman" w:hAnsi="Times New Roman"/>
                <w:color w:val="000000"/>
                <w:sz w:val="20"/>
                <w:szCs w:val="20"/>
                <w:lang w:val="ro-RO" w:eastAsia="ja-JP"/>
              </w:rPr>
              <w:t>Procurarea și acordarea cadourilor de Anul Nou copiilor din grădiniță – 10,0 mii lei; acordarea suportului financiar participanților la luptele din Afganistan și la luptele pentru apărarea integrității teritoriale și independenței RM – 4,2 mii lei</w:t>
            </w:r>
          </w:p>
        </w:tc>
      </w:tr>
      <w:tr w:rsidR="00F24302" w:rsidRPr="003D14BB" w:rsidTr="006B6AE0">
        <w:tc>
          <w:tcPr>
            <w:tcW w:w="1843" w:type="dxa"/>
            <w:vAlign w:val="center"/>
          </w:tcPr>
          <w:p w:rsidR="00F24302" w:rsidRPr="00E4283E" w:rsidRDefault="00F24302" w:rsidP="006B6AE0">
            <w:pPr>
              <w:spacing w:after="0" w:line="240" w:lineRule="auto"/>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Primăria com. Sîngereii Noi</w:t>
            </w:r>
          </w:p>
        </w:tc>
        <w:tc>
          <w:tcPr>
            <w:tcW w:w="709" w:type="dxa"/>
            <w:vAlign w:val="center"/>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14,4</w:t>
            </w:r>
          </w:p>
        </w:tc>
        <w:tc>
          <w:tcPr>
            <w:tcW w:w="12474" w:type="dxa"/>
            <w:vAlign w:val="center"/>
          </w:tcPr>
          <w:p w:rsidR="00F24302" w:rsidRPr="00E4283E" w:rsidRDefault="00F24302" w:rsidP="006B6AE0">
            <w:pPr>
              <w:spacing w:after="0" w:line="240" w:lineRule="auto"/>
              <w:jc w:val="both"/>
              <w:rPr>
                <w:rFonts w:ascii="Times New Roman" w:eastAsia="Times New Roman" w:hAnsi="Times New Roman"/>
                <w:color w:val="000000"/>
                <w:sz w:val="20"/>
                <w:szCs w:val="20"/>
                <w:lang w:val="ro-RO" w:eastAsia="ja-JP"/>
              </w:rPr>
            </w:pPr>
            <w:r w:rsidRPr="00E4283E">
              <w:rPr>
                <w:rFonts w:ascii="Times New Roman" w:eastAsia="Times New Roman" w:hAnsi="Times New Roman"/>
                <w:color w:val="000000"/>
                <w:sz w:val="20"/>
                <w:szCs w:val="20"/>
                <w:lang w:val="ro-RO" w:eastAsia="ja-JP"/>
              </w:rPr>
              <w:t>Acordarea suportului financiar participanților la luptele din Afganistan, la cel de-al doilea război mondial și participanților la luptele pentru apărarea integrității teritoriale și independenței RM (23 persoane) – 7,3 mii lei; acordarea suportului financiar la înrolarea în Armata Națională (3 persoane) – 1,5 mii lei; acordarea suportului financiar cu ocazia zilei de 8 Martie (56 persoane) – 5,6 mii lei</w:t>
            </w:r>
          </w:p>
        </w:tc>
      </w:tr>
      <w:tr w:rsidR="00F24302" w:rsidRPr="00121F51" w:rsidTr="006B6AE0">
        <w:tc>
          <w:tcPr>
            <w:tcW w:w="1843" w:type="dxa"/>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Total</w:t>
            </w:r>
          </w:p>
        </w:tc>
        <w:tc>
          <w:tcPr>
            <w:tcW w:w="709" w:type="dxa"/>
            <w:vAlign w:val="center"/>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ja-JP"/>
              </w:rPr>
            </w:pPr>
            <w:r w:rsidRPr="00E4283E">
              <w:rPr>
                <w:rFonts w:ascii="Times New Roman" w:eastAsia="Times New Roman" w:hAnsi="Times New Roman"/>
                <w:b/>
                <w:color w:val="000000"/>
                <w:sz w:val="20"/>
                <w:szCs w:val="20"/>
                <w:lang w:val="ro-RO" w:eastAsia="ja-JP"/>
              </w:rPr>
              <w:t>363,2</w:t>
            </w:r>
          </w:p>
        </w:tc>
        <w:tc>
          <w:tcPr>
            <w:tcW w:w="12474" w:type="dxa"/>
            <w:vAlign w:val="center"/>
          </w:tcPr>
          <w:p w:rsidR="00F24302" w:rsidRPr="00E4283E" w:rsidRDefault="00F24302" w:rsidP="006B6AE0">
            <w:pPr>
              <w:spacing w:after="0" w:line="240" w:lineRule="auto"/>
              <w:jc w:val="center"/>
              <w:rPr>
                <w:rFonts w:ascii="Times New Roman" w:eastAsia="Times New Roman" w:hAnsi="Times New Roman"/>
                <w:b/>
                <w:color w:val="000000"/>
                <w:sz w:val="20"/>
                <w:szCs w:val="20"/>
                <w:lang w:val="ro-RO" w:eastAsia="ja-JP"/>
              </w:rPr>
            </w:pPr>
          </w:p>
        </w:tc>
      </w:tr>
    </w:tbl>
    <w:p w:rsidR="00F24302" w:rsidRPr="00121F51" w:rsidRDefault="00F24302" w:rsidP="00F24302">
      <w:pPr>
        <w:spacing w:after="0" w:line="240" w:lineRule="auto"/>
        <w:ind w:firstLine="567"/>
        <w:jc w:val="both"/>
        <w:rPr>
          <w:rFonts w:ascii="Times New Roman" w:hAnsi="Times New Roman"/>
          <w:sz w:val="20"/>
          <w:szCs w:val="20"/>
          <w:lang w:val="ro-RO"/>
        </w:rPr>
      </w:pPr>
      <w:r w:rsidRPr="00121F51">
        <w:rPr>
          <w:rFonts w:ascii="Times New Roman" w:eastAsia="Times New Roman" w:hAnsi="Times New Roman"/>
          <w:b/>
          <w:bCs/>
          <w:i/>
          <w:iCs/>
          <w:sz w:val="20"/>
          <w:szCs w:val="20"/>
          <w:lang w:val="ro-RO"/>
        </w:rPr>
        <w:t xml:space="preserve">Sursă: </w:t>
      </w:r>
      <w:r w:rsidRPr="00121F51">
        <w:rPr>
          <w:rFonts w:ascii="Times New Roman" w:eastAsia="Times New Roman" w:hAnsi="Times New Roman"/>
          <w:bCs/>
          <w:iCs/>
          <w:sz w:val="20"/>
          <w:szCs w:val="20"/>
          <w:lang w:val="ro-RO"/>
        </w:rPr>
        <w:t xml:space="preserve">Devizele de cheltuieli, </w:t>
      </w:r>
      <w:r w:rsidRPr="00121F51">
        <w:rPr>
          <w:rFonts w:ascii="Times New Roman" w:hAnsi="Times New Roman"/>
          <w:sz w:val="20"/>
          <w:szCs w:val="20"/>
          <w:lang w:val="ro-RO"/>
        </w:rPr>
        <w:t>dările de seamă prezentate de entități la executarea bugetelor.</w:t>
      </w:r>
    </w:p>
    <w:p w:rsidR="00F24302" w:rsidRDefault="00F24302" w:rsidP="00F24302">
      <w:pPr>
        <w:spacing w:after="120" w:line="240" w:lineRule="auto"/>
        <w:rPr>
          <w:rFonts w:ascii="Times New Roman" w:hAnsi="Times New Roman"/>
          <w:sz w:val="20"/>
          <w:szCs w:val="20"/>
          <w:lang w:val="ro-RO"/>
        </w:rPr>
        <w:sectPr w:rsidR="00F24302" w:rsidSect="00EB43D7">
          <w:footerReference w:type="default" r:id="rId8"/>
          <w:pgSz w:w="16838" w:h="11906" w:orient="landscape"/>
          <w:pgMar w:top="907" w:right="851" w:bottom="907" w:left="1418" w:header="709" w:footer="709" w:gutter="0"/>
          <w:cols w:space="708"/>
          <w:docGrid w:linePitch="360"/>
        </w:sectPr>
      </w:pPr>
    </w:p>
    <w:p w:rsidR="00F24302" w:rsidRPr="00860FD1" w:rsidRDefault="00F24302" w:rsidP="00F24302">
      <w:pPr>
        <w:spacing w:after="120" w:line="240" w:lineRule="auto"/>
        <w:rPr>
          <w:rFonts w:ascii="Times New Roman" w:hAnsi="Times New Roman"/>
          <w:sz w:val="20"/>
          <w:szCs w:val="20"/>
          <w:lang w:val="ro-RO"/>
        </w:rPr>
      </w:pPr>
    </w:p>
    <w:p w:rsidR="00F24302" w:rsidRPr="00F24302" w:rsidRDefault="00F24302" w:rsidP="00F24302">
      <w:pPr>
        <w:tabs>
          <w:tab w:val="left" w:pos="709"/>
        </w:tabs>
        <w:spacing w:after="0" w:line="240" w:lineRule="auto"/>
        <w:jc w:val="right"/>
        <w:rPr>
          <w:sz w:val="24"/>
          <w:szCs w:val="24"/>
          <w:highlight w:val="cyan"/>
          <w:lang w:val="ro-RO"/>
        </w:rPr>
      </w:pPr>
      <w:r w:rsidRPr="00F24302">
        <w:rPr>
          <w:rFonts w:ascii="Times New Roman" w:hAnsi="Times New Roman"/>
          <w:b/>
          <w:sz w:val="24"/>
          <w:szCs w:val="24"/>
          <w:lang w:val="ro-RO"/>
        </w:rPr>
        <w:t>Anexa nr.10</w:t>
      </w:r>
    </w:p>
    <w:p w:rsidR="00F24302" w:rsidRPr="00F24302" w:rsidRDefault="00F24302" w:rsidP="00F24302">
      <w:pPr>
        <w:spacing w:before="120" w:after="0" w:line="240" w:lineRule="auto"/>
        <w:jc w:val="center"/>
        <w:rPr>
          <w:rFonts w:ascii="Times New Roman" w:hAnsi="Times New Roman"/>
          <w:b/>
          <w:sz w:val="24"/>
          <w:szCs w:val="24"/>
          <w:lang w:val="ro-RO"/>
        </w:rPr>
      </w:pPr>
      <w:r w:rsidRPr="00F24302">
        <w:rPr>
          <w:rFonts w:ascii="Times New Roman" w:hAnsi="Times New Roman"/>
          <w:b/>
          <w:sz w:val="24"/>
          <w:szCs w:val="24"/>
          <w:lang w:val="ro-RO"/>
        </w:rPr>
        <w:t xml:space="preserve">Măsurile întreprinse pe parcursul auditului de AAPL ale UAT de nivelurile I și II pe marginea Raportului de audit </w:t>
      </w:r>
    </w:p>
    <w:p w:rsidR="00F24302" w:rsidRPr="00F24302" w:rsidRDefault="00F24302" w:rsidP="00F24302">
      <w:pPr>
        <w:spacing w:after="120" w:line="240" w:lineRule="auto"/>
        <w:rPr>
          <w:rFonts w:ascii="Times New Roman" w:hAnsi="Times New Roman"/>
          <w:i/>
          <w:sz w:val="24"/>
          <w:szCs w:val="24"/>
          <w:lang w:val="ro-RO"/>
        </w:rPr>
      </w:pPr>
    </w:p>
    <w:p w:rsidR="00F24302" w:rsidRPr="00F24302" w:rsidRDefault="00F24302" w:rsidP="00F24302">
      <w:pPr>
        <w:spacing w:after="0" w:line="240" w:lineRule="auto"/>
        <w:ind w:firstLine="708"/>
        <w:rPr>
          <w:rFonts w:ascii="Times New Roman" w:eastAsia="Times New Roman" w:hAnsi="Times New Roman"/>
          <w:sz w:val="24"/>
          <w:szCs w:val="24"/>
          <w:lang w:val="ro-RO" w:eastAsia="ru-RU"/>
        </w:rPr>
      </w:pPr>
      <w:r w:rsidRPr="00F24302">
        <w:rPr>
          <w:rFonts w:ascii="Times New Roman" w:eastAsia="Times New Roman" w:hAnsi="Times New Roman"/>
          <w:b/>
          <w:sz w:val="24"/>
          <w:szCs w:val="24"/>
          <w:lang w:val="ro-RO" w:eastAsia="ru-RU"/>
        </w:rPr>
        <w:t>Primăria or. Sîngerei:</w:t>
      </w:r>
      <w:r w:rsidRPr="00F24302">
        <w:rPr>
          <w:rFonts w:ascii="Times New Roman" w:eastAsia="Times New Roman" w:hAnsi="Times New Roman"/>
          <w:sz w:val="24"/>
          <w:szCs w:val="24"/>
          <w:lang w:val="ro-RO" w:eastAsia="ru-RU"/>
        </w:rPr>
        <w:t xml:space="preserve"> a efectuat inventar</w:t>
      </w:r>
      <w:bookmarkStart w:id="0" w:name="_GoBack"/>
      <w:bookmarkEnd w:id="0"/>
      <w:r w:rsidRPr="00F24302">
        <w:rPr>
          <w:rFonts w:ascii="Times New Roman" w:eastAsia="Times New Roman" w:hAnsi="Times New Roman"/>
          <w:sz w:val="24"/>
          <w:szCs w:val="24"/>
          <w:lang w:val="ro-RO" w:eastAsia="ru-RU"/>
        </w:rPr>
        <w:t>ierea și a evaluat baza impozabilă la taxa pentru dispozitivele publicitare, fiind identificate venituri în sumă de 206,8 mii lei, precum și a înaintat pretenții privind încasarea mijloacelor financiare în mărime de 2,1 mii lei achitate pentru lucrările neexecutate.</w:t>
      </w:r>
    </w:p>
    <w:p w:rsidR="00F24302" w:rsidRPr="00F24302" w:rsidRDefault="00F24302" w:rsidP="00F24302">
      <w:pPr>
        <w:spacing w:after="0" w:line="240" w:lineRule="auto"/>
        <w:ind w:firstLine="708"/>
        <w:jc w:val="both"/>
        <w:rPr>
          <w:rFonts w:ascii="Times New Roman" w:eastAsia="Times New Roman" w:hAnsi="Times New Roman"/>
          <w:sz w:val="24"/>
          <w:szCs w:val="24"/>
          <w:lang w:val="ro-RO" w:eastAsia="ru-RU"/>
        </w:rPr>
      </w:pPr>
      <w:r w:rsidRPr="00F24302">
        <w:rPr>
          <w:rFonts w:ascii="Times New Roman" w:eastAsia="Times New Roman" w:hAnsi="Times New Roman"/>
          <w:b/>
          <w:sz w:val="24"/>
          <w:szCs w:val="24"/>
          <w:lang w:val="ro-RO" w:eastAsia="ru-RU"/>
        </w:rPr>
        <w:t>Primăria or. Biruința:</w:t>
      </w:r>
      <w:r w:rsidRPr="00F24302">
        <w:rPr>
          <w:rFonts w:ascii="Times New Roman" w:eastAsia="Times New Roman" w:hAnsi="Times New Roman"/>
          <w:sz w:val="24"/>
          <w:szCs w:val="24"/>
          <w:lang w:val="ro-RO" w:eastAsia="ru-RU"/>
        </w:rPr>
        <w:t xml:space="preserve"> antreprenorul a efectuat lucrările care nu au fost </w:t>
      </w:r>
      <w:r w:rsidRPr="00F24302">
        <w:rPr>
          <w:rFonts w:ascii="Times New Roman" w:eastAsia="Times New Roman" w:hAnsi="Times New Roman"/>
          <w:sz w:val="24"/>
          <w:szCs w:val="24"/>
          <w:lang w:val="ro-RO"/>
        </w:rPr>
        <w:t xml:space="preserve">executate integral, dar achitate în sumă de 4,3 mii lei, </w:t>
      </w:r>
      <w:r w:rsidRPr="00F24302">
        <w:rPr>
          <w:rFonts w:ascii="Times New Roman" w:eastAsia="Times New Roman" w:hAnsi="Times New Roman"/>
          <w:bCs/>
          <w:iCs/>
          <w:sz w:val="24"/>
          <w:szCs w:val="24"/>
          <w:lang w:val="ro-RO" w:eastAsia="ru-RU"/>
        </w:rPr>
        <w:t xml:space="preserve">de reparație capitală a primăriei or. Biruința. La fel, au fost restabilite </w:t>
      </w:r>
      <w:r w:rsidRPr="00F24302">
        <w:rPr>
          <w:rFonts w:ascii="Times New Roman" w:eastAsia="Times New Roman" w:hAnsi="Times New Roman"/>
          <w:sz w:val="24"/>
          <w:szCs w:val="24"/>
          <w:lang w:val="ro-RO"/>
        </w:rPr>
        <w:t>lucrările de reparație a unor sectoare de drum local în sumă de 202,3 mii lei.</w:t>
      </w:r>
    </w:p>
    <w:p w:rsidR="00F24302" w:rsidRPr="00F24302" w:rsidRDefault="00F24302" w:rsidP="00F24302">
      <w:pPr>
        <w:spacing w:after="0" w:line="240" w:lineRule="auto"/>
        <w:ind w:firstLine="708"/>
        <w:jc w:val="both"/>
        <w:rPr>
          <w:rFonts w:ascii="Times New Roman" w:hAnsi="Times New Roman"/>
          <w:sz w:val="24"/>
          <w:szCs w:val="24"/>
          <w:lang w:val="ro-RO" w:eastAsia="ru-RU"/>
        </w:rPr>
      </w:pPr>
      <w:r w:rsidRPr="00F24302">
        <w:rPr>
          <w:rFonts w:ascii="Times New Roman" w:hAnsi="Times New Roman"/>
          <w:b/>
          <w:sz w:val="24"/>
          <w:szCs w:val="24"/>
          <w:lang w:val="ro-RO" w:eastAsia="ru-RU"/>
        </w:rPr>
        <w:t>Primăria com. Cubolta:</w:t>
      </w:r>
      <w:r w:rsidRPr="00F24302">
        <w:rPr>
          <w:rFonts w:ascii="Times New Roman" w:hAnsi="Times New Roman"/>
          <w:sz w:val="24"/>
          <w:szCs w:val="24"/>
          <w:lang w:val="ro-RO" w:eastAsia="ru-RU"/>
        </w:rPr>
        <w:t xml:space="preserve"> </w:t>
      </w:r>
      <w:r w:rsidRPr="00F24302">
        <w:rPr>
          <w:rFonts w:ascii="Times New Roman" w:eastAsia="Times New Roman" w:hAnsi="Times New Roman"/>
          <w:sz w:val="24"/>
          <w:szCs w:val="24"/>
          <w:lang w:val="ro-RO" w:eastAsia="ru-RU"/>
        </w:rPr>
        <w:t>antreprenorul</w:t>
      </w:r>
      <w:r w:rsidRPr="00F24302">
        <w:rPr>
          <w:rFonts w:ascii="Times New Roman" w:hAnsi="Times New Roman"/>
          <w:sz w:val="24"/>
          <w:szCs w:val="24"/>
          <w:lang w:val="ro-RO" w:eastAsia="ru-RU"/>
        </w:rPr>
        <w:t xml:space="preserve"> a efectuat lucrările care nu au fost executate, dar recepționate și neachitate la reparația drumului din localitate în sumă de 299,2 mii lei.</w:t>
      </w:r>
    </w:p>
    <w:p w:rsidR="00F24302" w:rsidRPr="00F24302" w:rsidRDefault="00F24302" w:rsidP="00F24302">
      <w:pPr>
        <w:spacing w:after="0" w:line="240" w:lineRule="auto"/>
        <w:ind w:firstLine="708"/>
        <w:jc w:val="both"/>
        <w:rPr>
          <w:rFonts w:ascii="Times New Roman" w:hAnsi="Times New Roman"/>
          <w:sz w:val="24"/>
          <w:szCs w:val="24"/>
          <w:lang w:val="ro-RO" w:eastAsia="ru-RU"/>
        </w:rPr>
      </w:pPr>
      <w:r w:rsidRPr="00F24302">
        <w:rPr>
          <w:rFonts w:ascii="Times New Roman" w:hAnsi="Times New Roman"/>
          <w:b/>
          <w:sz w:val="24"/>
          <w:szCs w:val="24"/>
          <w:lang w:val="ro-RO" w:eastAsia="ru-RU"/>
        </w:rPr>
        <w:t>Primăria com. Iezărenii Vechi:</w:t>
      </w:r>
      <w:r w:rsidRPr="00F24302">
        <w:rPr>
          <w:rFonts w:ascii="Times New Roman" w:hAnsi="Times New Roman"/>
          <w:sz w:val="24"/>
          <w:szCs w:val="24"/>
          <w:lang w:val="ro-RO" w:eastAsia="ru-RU"/>
        </w:rPr>
        <w:t xml:space="preserve"> </w:t>
      </w:r>
      <w:r w:rsidRPr="00F24302">
        <w:rPr>
          <w:rFonts w:ascii="Times New Roman" w:eastAsia="Times New Roman" w:hAnsi="Times New Roman"/>
          <w:sz w:val="24"/>
          <w:szCs w:val="24"/>
          <w:lang w:val="ro-RO" w:eastAsia="ru-RU"/>
        </w:rPr>
        <w:t>antreprenorul</w:t>
      </w:r>
      <w:r w:rsidRPr="00F24302">
        <w:rPr>
          <w:rFonts w:ascii="Times New Roman" w:hAnsi="Times New Roman"/>
          <w:sz w:val="24"/>
          <w:szCs w:val="24"/>
          <w:lang w:val="ro-RO" w:eastAsia="ru-RU"/>
        </w:rPr>
        <w:t xml:space="preserve"> a efectuat lucrările care nu au fost executate integral, dar achitate în sumă de 21,7 mii lei, la </w:t>
      </w:r>
      <w:r w:rsidRPr="00F24302">
        <w:rPr>
          <w:rFonts w:ascii="Times New Roman" w:hAnsi="Times New Roman"/>
          <w:sz w:val="24"/>
          <w:szCs w:val="24"/>
          <w:lang w:val="ro-RO" w:eastAsia="ro-RO"/>
        </w:rPr>
        <w:t>lucrările de forare a sondei pentru aprovizionarea cu apă și de construcție a turnului de apă din localitate.</w:t>
      </w:r>
    </w:p>
    <w:p w:rsidR="00F24302" w:rsidRPr="00F24302" w:rsidRDefault="00F24302" w:rsidP="00F24302">
      <w:pPr>
        <w:spacing w:after="120" w:line="240" w:lineRule="auto"/>
        <w:rPr>
          <w:rFonts w:ascii="Times New Roman" w:hAnsi="Times New Roman"/>
          <w:i/>
          <w:sz w:val="24"/>
          <w:szCs w:val="24"/>
          <w:lang w:val="ro-RO"/>
        </w:rPr>
      </w:pPr>
    </w:p>
    <w:p w:rsidR="002D3284" w:rsidRPr="00F24302" w:rsidRDefault="002D3284">
      <w:pPr>
        <w:rPr>
          <w:lang w:val="ro-RO"/>
        </w:rPr>
      </w:pPr>
    </w:p>
    <w:sectPr w:rsidR="002D3284" w:rsidRPr="00F24302" w:rsidSect="00860FD1">
      <w:pgSz w:w="11906" w:h="16838"/>
      <w:pgMar w:top="851" w:right="907" w:bottom="1418"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2F" w:rsidRDefault="00A13B2F" w:rsidP="00F24302">
      <w:pPr>
        <w:spacing w:after="0" w:line="240" w:lineRule="auto"/>
      </w:pPr>
      <w:r>
        <w:separator/>
      </w:r>
    </w:p>
  </w:endnote>
  <w:endnote w:type="continuationSeparator" w:id="0">
    <w:p w:rsidR="00A13B2F" w:rsidRDefault="00A13B2F" w:rsidP="00F2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Nimbus Sans L">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02" w:rsidRDefault="00F24302">
    <w:pPr>
      <w:pStyle w:val="af"/>
      <w:jc w:val="right"/>
    </w:pPr>
    <w:r>
      <w:fldChar w:fldCharType="begin"/>
    </w:r>
    <w:r>
      <w:instrText>PAGE   \* MERGEFORMAT</w:instrText>
    </w:r>
    <w:r>
      <w:fldChar w:fldCharType="separate"/>
    </w:r>
    <w:r>
      <w:rPr>
        <w:noProof/>
      </w:rPr>
      <w:t>6</w:t>
    </w:r>
    <w:r>
      <w:fldChar w:fldCharType="end"/>
    </w:r>
  </w:p>
  <w:p w:rsidR="00F24302" w:rsidRDefault="00F243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02" w:rsidRDefault="00F24302">
    <w:pPr>
      <w:pStyle w:val="af"/>
      <w:jc w:val="right"/>
    </w:pPr>
    <w:r>
      <w:fldChar w:fldCharType="begin"/>
    </w:r>
    <w:r>
      <w:instrText xml:space="preserve"> PAGE   \* MERGEFORMAT </w:instrText>
    </w:r>
    <w:r>
      <w:fldChar w:fldCharType="separate"/>
    </w:r>
    <w:r>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2F" w:rsidRDefault="00A13B2F" w:rsidP="00F24302">
      <w:pPr>
        <w:spacing w:after="0" w:line="240" w:lineRule="auto"/>
      </w:pPr>
      <w:r>
        <w:separator/>
      </w:r>
    </w:p>
  </w:footnote>
  <w:footnote w:type="continuationSeparator" w:id="0">
    <w:p w:rsidR="00A13B2F" w:rsidRDefault="00A13B2F" w:rsidP="00F24302">
      <w:pPr>
        <w:spacing w:after="0" w:line="240" w:lineRule="auto"/>
      </w:pPr>
      <w:r>
        <w:continuationSeparator/>
      </w:r>
    </w:p>
  </w:footnote>
  <w:footnote w:id="1">
    <w:p w:rsidR="00F24302" w:rsidRDefault="00F24302" w:rsidP="00F24302">
      <w:pPr>
        <w:pStyle w:val="a6"/>
        <w:jc w:val="both"/>
        <w:rPr>
          <w:rFonts w:ascii="Times New Roman" w:hAnsi="Times New Roman"/>
          <w:sz w:val="18"/>
          <w:szCs w:val="18"/>
          <w:lang w:val="ro-RO"/>
        </w:rPr>
      </w:pPr>
      <w:r>
        <w:rPr>
          <w:rStyle w:val="a7"/>
          <w:rFonts w:ascii="Times New Roman" w:hAnsi="Times New Roman"/>
          <w:sz w:val="18"/>
          <w:szCs w:val="18"/>
          <w:lang w:val="ro-RO"/>
        </w:rPr>
        <w:footnoteRef/>
      </w:r>
      <w:r>
        <w:rPr>
          <w:rFonts w:ascii="Times New Roman" w:eastAsia="Times New Roman" w:hAnsi="Times New Roman"/>
          <w:sz w:val="18"/>
          <w:szCs w:val="18"/>
          <w:lang w:val="ro-RO"/>
        </w:rPr>
        <w:t xml:space="preserve"> Legea Curții de Conturi nr.261-XVI din 05.12.2008.</w:t>
      </w:r>
    </w:p>
  </w:footnote>
  <w:footnote w:id="2">
    <w:p w:rsidR="00F24302" w:rsidRPr="002D30D4" w:rsidRDefault="00F24302" w:rsidP="00F24302">
      <w:pPr>
        <w:pStyle w:val="a6"/>
        <w:rPr>
          <w:rFonts w:ascii="Times New Roman" w:hAnsi="Times New Roman"/>
          <w:sz w:val="18"/>
          <w:szCs w:val="18"/>
          <w:lang w:val="ro-RO"/>
        </w:rPr>
      </w:pPr>
      <w:r w:rsidRPr="002D30D4">
        <w:rPr>
          <w:rStyle w:val="a7"/>
          <w:rFonts w:ascii="Times New Roman" w:hAnsi="Times New Roman"/>
          <w:sz w:val="18"/>
          <w:szCs w:val="18"/>
          <w:lang w:val="ro-RO"/>
        </w:rPr>
        <w:footnoteRef/>
      </w:r>
      <w:r w:rsidRPr="002D30D4">
        <w:rPr>
          <w:rFonts w:ascii="Times New Roman" w:hAnsi="Times New Roman"/>
          <w:sz w:val="18"/>
          <w:szCs w:val="18"/>
          <w:lang w:val="ro-RO"/>
        </w:rPr>
        <w:t xml:space="preserve"> Programul activității de audit al Curții de Conturi pe anul 2016 aprobat prin Hotărîrea Curții de Conturi nr.46 din 14.12.2015.</w:t>
      </w:r>
    </w:p>
  </w:footnote>
  <w:footnote w:id="3">
    <w:p w:rsidR="00F24302" w:rsidRPr="0021035C" w:rsidRDefault="00F24302" w:rsidP="00F24302">
      <w:pPr>
        <w:pStyle w:val="a6"/>
        <w:jc w:val="both"/>
        <w:rPr>
          <w:rFonts w:ascii="Times New Roman" w:hAnsi="Times New Roman"/>
          <w:sz w:val="18"/>
          <w:szCs w:val="18"/>
          <w:lang w:val="en-US"/>
        </w:rPr>
      </w:pPr>
      <w:r w:rsidRPr="0021035C">
        <w:rPr>
          <w:rStyle w:val="a7"/>
          <w:rFonts w:ascii="Times New Roman" w:hAnsi="Times New Roman"/>
          <w:sz w:val="18"/>
          <w:szCs w:val="18"/>
        </w:rPr>
        <w:footnoteRef/>
      </w:r>
      <w:r w:rsidRPr="0021035C">
        <w:rPr>
          <w:rFonts w:ascii="Times New Roman" w:hAnsi="Times New Roman"/>
          <w:sz w:val="18"/>
          <w:szCs w:val="18"/>
          <w:lang w:val="en-US"/>
        </w:rPr>
        <w:t xml:space="preserve"> </w:t>
      </w:r>
      <w:r w:rsidRPr="0021035C">
        <w:rPr>
          <w:rFonts w:ascii="Times New Roman" w:hAnsi="Times New Roman"/>
          <w:sz w:val="18"/>
          <w:szCs w:val="18"/>
          <w:lang w:val="ro-RO"/>
        </w:rPr>
        <w:t>Venituri</w:t>
      </w:r>
      <w:r>
        <w:rPr>
          <w:rFonts w:ascii="Times New Roman" w:hAnsi="Times New Roman"/>
          <w:sz w:val="18"/>
          <w:szCs w:val="18"/>
          <w:lang w:val="ro-RO"/>
        </w:rPr>
        <w:t xml:space="preserve"> proprii; d</w:t>
      </w:r>
      <w:r w:rsidRPr="0021035C">
        <w:rPr>
          <w:rFonts w:ascii="Times New Roman" w:hAnsi="Times New Roman"/>
          <w:sz w:val="18"/>
          <w:szCs w:val="18"/>
          <w:lang w:val="ro-RO"/>
        </w:rPr>
        <w:t>efalcări conform cotelor procentuale de la impozitele și taxele de stat, mijloacele speciale și venituri</w:t>
      </w:r>
      <w:r>
        <w:rPr>
          <w:rFonts w:ascii="Times New Roman" w:hAnsi="Times New Roman"/>
          <w:sz w:val="18"/>
          <w:szCs w:val="18"/>
          <w:lang w:val="ro-RO"/>
        </w:rPr>
        <w:t>le</w:t>
      </w:r>
      <w:r w:rsidRPr="0021035C">
        <w:rPr>
          <w:rFonts w:ascii="Times New Roman" w:hAnsi="Times New Roman"/>
          <w:sz w:val="18"/>
          <w:szCs w:val="18"/>
          <w:lang w:val="ro-RO"/>
        </w:rPr>
        <w:t xml:space="preserve"> fondurilor speciale.</w:t>
      </w:r>
    </w:p>
  </w:footnote>
  <w:footnote w:id="4">
    <w:p w:rsidR="00F24302" w:rsidRPr="0021035C" w:rsidRDefault="00F24302" w:rsidP="00F24302">
      <w:pPr>
        <w:pStyle w:val="a6"/>
        <w:jc w:val="both"/>
        <w:rPr>
          <w:rFonts w:ascii="Times New Roman" w:hAnsi="Times New Roman"/>
          <w:sz w:val="18"/>
          <w:szCs w:val="18"/>
          <w:lang w:val="ro-RO"/>
        </w:rPr>
      </w:pPr>
      <w:r w:rsidRPr="0021035C">
        <w:rPr>
          <w:rStyle w:val="a7"/>
          <w:rFonts w:ascii="Times New Roman" w:hAnsi="Times New Roman"/>
          <w:sz w:val="18"/>
          <w:szCs w:val="18"/>
          <w:lang w:val="ro-RO"/>
        </w:rPr>
        <w:footnoteRef/>
      </w:r>
      <w:r w:rsidRPr="0021035C">
        <w:rPr>
          <w:rFonts w:ascii="Times New Roman" w:hAnsi="Times New Roman"/>
          <w:sz w:val="18"/>
          <w:szCs w:val="18"/>
          <w:lang w:val="ro-RO"/>
        </w:rPr>
        <w:t xml:space="preserve"> Art.19 alin.(2)</w:t>
      </w:r>
      <w:r>
        <w:rPr>
          <w:rFonts w:ascii="Times New Roman" w:hAnsi="Times New Roman"/>
          <w:sz w:val="18"/>
          <w:szCs w:val="18"/>
          <w:lang w:val="ro-RO"/>
        </w:rPr>
        <w:t xml:space="preserve"> </w:t>
      </w:r>
      <w:r w:rsidRPr="0021035C">
        <w:rPr>
          <w:rFonts w:ascii="Times New Roman" w:hAnsi="Times New Roman"/>
          <w:sz w:val="18"/>
          <w:szCs w:val="18"/>
          <w:lang w:val="ro-RO"/>
        </w:rPr>
        <w:t xml:space="preserve">din </w:t>
      </w:r>
      <w:r w:rsidRPr="0021035C">
        <w:rPr>
          <w:rFonts w:ascii="Times New Roman" w:eastAsia="Times New Roman" w:hAnsi="Times New Roman"/>
          <w:sz w:val="18"/>
          <w:szCs w:val="18"/>
          <w:lang w:val="ro-RO"/>
        </w:rPr>
        <w:t xml:space="preserve">Legea nr.397-XV din 16.10.2003 privind finanțele publice locale (în continuare </w:t>
      </w:r>
      <w:r>
        <w:rPr>
          <w:rFonts w:ascii="Times New Roman" w:eastAsia="Times New Roman" w:hAnsi="Times New Roman"/>
          <w:sz w:val="18"/>
          <w:szCs w:val="18"/>
          <w:lang w:val="ro-RO"/>
        </w:rPr>
        <w:t>–</w:t>
      </w:r>
      <w:r w:rsidRPr="0021035C">
        <w:rPr>
          <w:rFonts w:ascii="Times New Roman" w:eastAsia="Times New Roman" w:hAnsi="Times New Roman"/>
          <w:sz w:val="18"/>
          <w:szCs w:val="18"/>
          <w:lang w:val="ro-RO"/>
        </w:rPr>
        <w:t xml:space="preserve"> Legea nr.397-XV din 16.10.2003).</w:t>
      </w:r>
    </w:p>
  </w:footnote>
  <w:footnote w:id="5">
    <w:p w:rsidR="00F24302" w:rsidRPr="0021035C" w:rsidRDefault="00F24302" w:rsidP="00F24302">
      <w:pPr>
        <w:pStyle w:val="a6"/>
        <w:jc w:val="both"/>
        <w:rPr>
          <w:rFonts w:ascii="Times New Roman" w:hAnsi="Times New Roman"/>
          <w:sz w:val="18"/>
          <w:szCs w:val="18"/>
          <w:lang w:val="en-US"/>
        </w:rPr>
      </w:pPr>
      <w:r w:rsidRPr="0021035C">
        <w:rPr>
          <w:rStyle w:val="a7"/>
          <w:rFonts w:ascii="Times New Roman" w:hAnsi="Times New Roman"/>
          <w:sz w:val="18"/>
          <w:szCs w:val="18"/>
        </w:rPr>
        <w:footnoteRef/>
      </w:r>
      <w:r w:rsidRPr="0021035C">
        <w:rPr>
          <w:rFonts w:ascii="Times New Roman" w:hAnsi="Times New Roman"/>
          <w:sz w:val="18"/>
          <w:szCs w:val="18"/>
          <w:lang w:val="en-US"/>
        </w:rPr>
        <w:t xml:space="preserve">  </w:t>
      </w:r>
      <w:r w:rsidRPr="0021035C">
        <w:rPr>
          <w:rFonts w:ascii="Times New Roman" w:hAnsi="Times New Roman"/>
          <w:sz w:val="18"/>
          <w:szCs w:val="18"/>
          <w:lang w:val="ro-RO"/>
        </w:rPr>
        <w:t>Note metodologice privind elaborarea de către autoritățile administrației publice locale a proiectelor de buget pe anul 20</w:t>
      </w:r>
      <w:r>
        <w:rPr>
          <w:rFonts w:ascii="Times New Roman" w:hAnsi="Times New Roman"/>
          <w:sz w:val="18"/>
          <w:szCs w:val="18"/>
          <w:lang w:val="ro-RO"/>
        </w:rPr>
        <w:t>15 și a estimărilor pe anii 2016-2017,</w:t>
      </w:r>
      <w:r w:rsidRPr="0021035C">
        <w:rPr>
          <w:rFonts w:ascii="Times New Roman" w:hAnsi="Times New Roman"/>
          <w:sz w:val="18"/>
          <w:szCs w:val="18"/>
          <w:lang w:val="ro-RO"/>
        </w:rPr>
        <w:t xml:space="preserve"> remise prin </w:t>
      </w:r>
      <w:r>
        <w:rPr>
          <w:rFonts w:ascii="Times New Roman" w:hAnsi="Times New Roman"/>
          <w:sz w:val="18"/>
          <w:szCs w:val="18"/>
          <w:lang w:val="ro-RO"/>
        </w:rPr>
        <w:t>C</w:t>
      </w:r>
      <w:r w:rsidRPr="0021035C">
        <w:rPr>
          <w:rFonts w:ascii="Times New Roman" w:hAnsi="Times New Roman"/>
          <w:sz w:val="18"/>
          <w:szCs w:val="18"/>
          <w:lang w:val="ro-RO"/>
        </w:rPr>
        <w:t>irculara MF nr.06/2-</w:t>
      </w:r>
      <w:r w:rsidRPr="0021035C">
        <w:rPr>
          <w:rFonts w:ascii="Times New Roman" w:hAnsi="Times New Roman"/>
          <w:sz w:val="18"/>
          <w:szCs w:val="18"/>
          <w:lang w:val="en-US"/>
        </w:rPr>
        <w:t>0</w:t>
      </w:r>
      <w:r w:rsidRPr="0021035C">
        <w:rPr>
          <w:rFonts w:ascii="Times New Roman" w:hAnsi="Times New Roman"/>
          <w:sz w:val="18"/>
          <w:szCs w:val="18"/>
          <w:lang w:val="ro-RO"/>
        </w:rPr>
        <w:t>7 din 12</w:t>
      </w:r>
      <w:r>
        <w:rPr>
          <w:rFonts w:ascii="Times New Roman" w:hAnsi="Times New Roman"/>
          <w:sz w:val="18"/>
          <w:szCs w:val="18"/>
          <w:lang w:val="ro-RO"/>
        </w:rPr>
        <w:t>.06.</w:t>
      </w:r>
      <w:r w:rsidRPr="0021035C">
        <w:rPr>
          <w:rFonts w:ascii="Times New Roman" w:hAnsi="Times New Roman"/>
          <w:sz w:val="18"/>
          <w:szCs w:val="18"/>
          <w:lang w:val="ro-RO"/>
        </w:rPr>
        <w:t>2014 (în continuare – Notele metodologice).</w:t>
      </w:r>
    </w:p>
  </w:footnote>
  <w:footnote w:id="6">
    <w:p w:rsidR="00F24302" w:rsidRPr="001E65C5" w:rsidRDefault="00F24302" w:rsidP="00F24302">
      <w:pPr>
        <w:pStyle w:val="Style1"/>
        <w:spacing w:line="240" w:lineRule="auto"/>
        <w:rPr>
          <w:lang w:val="ro-RO"/>
        </w:rPr>
      </w:pPr>
      <w:r w:rsidRPr="001E65C5">
        <w:rPr>
          <w:rStyle w:val="a7"/>
          <w:lang w:val="ro-RO"/>
        </w:rPr>
        <w:footnoteRef/>
      </w:r>
      <w:r>
        <w:rPr>
          <w:lang w:val="ro-RO"/>
        </w:rPr>
        <w:t xml:space="preserve"> Anexa nr.7</w:t>
      </w:r>
      <w:r w:rsidRPr="001E65C5">
        <w:rPr>
          <w:lang w:val="ro-RO"/>
        </w:rPr>
        <w:t xml:space="preserve"> la Raportul de audit. </w:t>
      </w:r>
    </w:p>
  </w:footnote>
  <w:footnote w:id="7">
    <w:p w:rsidR="00F24302" w:rsidRPr="009D5E49" w:rsidRDefault="00F24302" w:rsidP="00F24302">
      <w:pPr>
        <w:pStyle w:val="Style1"/>
        <w:spacing w:line="240" w:lineRule="auto"/>
        <w:rPr>
          <w:lang w:val="en-US"/>
        </w:rPr>
      </w:pPr>
      <w:r w:rsidRPr="001E65C5">
        <w:rPr>
          <w:rStyle w:val="a7"/>
          <w:szCs w:val="18"/>
          <w:lang w:val="ro-RO"/>
        </w:rPr>
        <w:footnoteRef/>
      </w:r>
      <w:r>
        <w:rPr>
          <w:lang w:val="ro-RO"/>
        </w:rPr>
        <w:t xml:space="preserve"> Anexa nr.7</w:t>
      </w:r>
      <w:r w:rsidRPr="001E65C5">
        <w:rPr>
          <w:lang w:val="ro-RO"/>
        </w:rPr>
        <w:t xml:space="preserve"> la Raportul de audit.</w:t>
      </w:r>
    </w:p>
  </w:footnote>
  <w:footnote w:id="8">
    <w:p w:rsidR="00F24302" w:rsidRPr="00430C23" w:rsidRDefault="00F24302" w:rsidP="00F24302">
      <w:pPr>
        <w:pStyle w:val="a6"/>
        <w:rPr>
          <w:rFonts w:ascii="Times New Roman" w:hAnsi="Times New Roman"/>
          <w:sz w:val="18"/>
          <w:szCs w:val="18"/>
          <w:lang w:val="ro-RO"/>
        </w:rPr>
      </w:pPr>
      <w:r w:rsidRPr="00430C23">
        <w:rPr>
          <w:rStyle w:val="a7"/>
          <w:rFonts w:ascii="Times New Roman" w:hAnsi="Times New Roman"/>
          <w:sz w:val="18"/>
          <w:szCs w:val="18"/>
          <w:lang w:val="ro-RO"/>
        </w:rPr>
        <w:footnoteRef/>
      </w:r>
      <w:r>
        <w:rPr>
          <w:rFonts w:ascii="Times New Roman" w:hAnsi="Times New Roman"/>
          <w:sz w:val="18"/>
          <w:szCs w:val="18"/>
          <w:lang w:val="ro-RO"/>
        </w:rPr>
        <w:t xml:space="preserve"> Codul fiscal </w:t>
      </w:r>
      <w:r w:rsidRPr="00430C23">
        <w:rPr>
          <w:rFonts w:ascii="Times New Roman" w:hAnsi="Times New Roman"/>
          <w:sz w:val="18"/>
          <w:szCs w:val="18"/>
          <w:lang w:val="ro-RO"/>
        </w:rPr>
        <w:t>nr.1163-XIII din 24.04.1997</w:t>
      </w:r>
      <w:r>
        <w:rPr>
          <w:rFonts w:ascii="Times New Roman" w:hAnsi="Times New Roman"/>
          <w:sz w:val="18"/>
          <w:szCs w:val="18"/>
          <w:lang w:val="ro-RO"/>
        </w:rPr>
        <w:t xml:space="preserve"> (în continuare – Codul fiscal).</w:t>
      </w:r>
    </w:p>
  </w:footnote>
  <w:footnote w:id="9">
    <w:p w:rsidR="00F24302" w:rsidRPr="00430C23" w:rsidRDefault="00F24302" w:rsidP="00F24302">
      <w:pPr>
        <w:pStyle w:val="a6"/>
        <w:rPr>
          <w:rFonts w:ascii="Times New Roman" w:hAnsi="Times New Roman"/>
          <w:sz w:val="18"/>
          <w:szCs w:val="18"/>
          <w:lang w:val="ro-RO"/>
        </w:rPr>
      </w:pPr>
      <w:r w:rsidRPr="00430C23">
        <w:rPr>
          <w:rStyle w:val="a7"/>
          <w:rFonts w:ascii="Times New Roman" w:hAnsi="Times New Roman"/>
          <w:sz w:val="18"/>
          <w:szCs w:val="18"/>
          <w:lang w:val="ro-RO"/>
        </w:rPr>
        <w:footnoteRef/>
      </w:r>
      <w:r w:rsidRPr="00430C23">
        <w:rPr>
          <w:rFonts w:ascii="Times New Roman" w:hAnsi="Times New Roman"/>
          <w:sz w:val="18"/>
          <w:szCs w:val="18"/>
          <w:lang w:val="ro-RO"/>
        </w:rPr>
        <w:t xml:space="preserve"> Pr</w:t>
      </w:r>
      <w:r>
        <w:rPr>
          <w:rFonts w:ascii="Times New Roman" w:hAnsi="Times New Roman"/>
          <w:sz w:val="18"/>
          <w:szCs w:val="18"/>
          <w:lang w:val="ro-RO"/>
        </w:rPr>
        <w:t>imăriile comunelor: Alexăndreni,</w:t>
      </w:r>
      <w:r w:rsidRPr="00430C23">
        <w:rPr>
          <w:rFonts w:ascii="Times New Roman" w:hAnsi="Times New Roman"/>
          <w:sz w:val="18"/>
          <w:szCs w:val="18"/>
          <w:lang w:val="ro-RO"/>
        </w:rPr>
        <w:t xml:space="preserve"> Chișcăreni și Cubolta.</w:t>
      </w:r>
    </w:p>
  </w:footnote>
  <w:footnote w:id="10">
    <w:p w:rsidR="00F24302" w:rsidRPr="002750C3" w:rsidRDefault="00F24302" w:rsidP="00F24302">
      <w:pPr>
        <w:pStyle w:val="a6"/>
        <w:rPr>
          <w:rFonts w:ascii="Times New Roman" w:hAnsi="Times New Roman"/>
          <w:sz w:val="18"/>
          <w:szCs w:val="18"/>
          <w:lang w:val="en-US"/>
        </w:rPr>
      </w:pPr>
      <w:r w:rsidRPr="00430C23">
        <w:rPr>
          <w:rStyle w:val="a7"/>
          <w:rFonts w:ascii="Times New Roman" w:hAnsi="Times New Roman"/>
          <w:sz w:val="18"/>
          <w:szCs w:val="18"/>
          <w:lang w:val="ro-RO"/>
        </w:rPr>
        <w:footnoteRef/>
      </w:r>
      <w:r>
        <w:rPr>
          <w:rFonts w:ascii="Times New Roman" w:hAnsi="Times New Roman"/>
          <w:sz w:val="18"/>
          <w:szCs w:val="18"/>
          <w:lang w:val="ro-RO"/>
        </w:rPr>
        <w:t xml:space="preserve"> Anexa nr.7 la Raportul de audit.</w:t>
      </w:r>
    </w:p>
  </w:footnote>
  <w:footnote w:id="11">
    <w:p w:rsidR="00F24302" w:rsidRPr="00430C23" w:rsidRDefault="00F24302" w:rsidP="00F24302">
      <w:pPr>
        <w:pStyle w:val="a6"/>
        <w:rPr>
          <w:rFonts w:ascii="Times New Roman" w:hAnsi="Times New Roman"/>
          <w:sz w:val="18"/>
          <w:szCs w:val="18"/>
          <w:lang w:val="ro-RO"/>
        </w:rPr>
      </w:pPr>
      <w:r w:rsidRPr="00430C23">
        <w:rPr>
          <w:rStyle w:val="a7"/>
          <w:rFonts w:ascii="Times New Roman" w:hAnsi="Times New Roman"/>
          <w:sz w:val="18"/>
          <w:szCs w:val="18"/>
          <w:lang w:val="ro-RO"/>
        </w:rPr>
        <w:footnoteRef/>
      </w:r>
      <w:r w:rsidRPr="00430C23">
        <w:rPr>
          <w:rFonts w:ascii="Times New Roman" w:hAnsi="Times New Roman"/>
          <w:sz w:val="18"/>
          <w:szCs w:val="18"/>
          <w:lang w:val="ro-RO"/>
        </w:rPr>
        <w:t xml:space="preserve"> Primăria or</w:t>
      </w:r>
      <w:r>
        <w:rPr>
          <w:rFonts w:ascii="Times New Roman" w:hAnsi="Times New Roman"/>
          <w:sz w:val="18"/>
          <w:szCs w:val="18"/>
          <w:lang w:val="ro-RO"/>
        </w:rPr>
        <w:t>.Sîngerei; primăriile comunelor/satelor</w:t>
      </w:r>
      <w:r w:rsidRPr="00430C23">
        <w:rPr>
          <w:rFonts w:ascii="Times New Roman" w:hAnsi="Times New Roman"/>
          <w:sz w:val="18"/>
          <w:szCs w:val="18"/>
          <w:lang w:val="ro-RO"/>
        </w:rPr>
        <w:t xml:space="preserve">: Alexăndreni, Chișcăreni, </w:t>
      </w:r>
      <w:r>
        <w:rPr>
          <w:rFonts w:ascii="Times New Roman" w:hAnsi="Times New Roman"/>
          <w:sz w:val="18"/>
          <w:szCs w:val="18"/>
          <w:lang w:val="ro-RO"/>
        </w:rPr>
        <w:t xml:space="preserve">Coșcodeni, </w:t>
      </w:r>
      <w:r w:rsidRPr="00430C23">
        <w:rPr>
          <w:rFonts w:ascii="Times New Roman" w:hAnsi="Times New Roman"/>
          <w:sz w:val="18"/>
          <w:szCs w:val="18"/>
          <w:lang w:val="ro-RO"/>
        </w:rPr>
        <w:t>C</w:t>
      </w:r>
      <w:r>
        <w:rPr>
          <w:rFonts w:ascii="Times New Roman" w:hAnsi="Times New Roman"/>
          <w:sz w:val="18"/>
          <w:szCs w:val="18"/>
          <w:lang w:val="ro-RO"/>
        </w:rPr>
        <w:t>ubolta, Rădoaia, Sîngereii Noi.</w:t>
      </w:r>
    </w:p>
  </w:footnote>
  <w:footnote w:id="12">
    <w:p w:rsidR="00F24302" w:rsidRPr="00430C23" w:rsidRDefault="00F24302" w:rsidP="00F24302">
      <w:pPr>
        <w:pStyle w:val="a6"/>
        <w:rPr>
          <w:rFonts w:ascii="Times New Roman" w:hAnsi="Times New Roman"/>
          <w:sz w:val="18"/>
          <w:szCs w:val="18"/>
          <w:lang w:val="ro-RO"/>
        </w:rPr>
      </w:pPr>
      <w:r w:rsidRPr="00430C23">
        <w:rPr>
          <w:rStyle w:val="a7"/>
          <w:rFonts w:ascii="Times New Roman" w:hAnsi="Times New Roman"/>
          <w:sz w:val="18"/>
          <w:szCs w:val="18"/>
          <w:lang w:val="ro-RO"/>
        </w:rPr>
        <w:footnoteRef/>
      </w:r>
      <w:r>
        <w:rPr>
          <w:rFonts w:ascii="Times New Roman" w:hAnsi="Times New Roman"/>
          <w:sz w:val="18"/>
          <w:szCs w:val="18"/>
          <w:lang w:val="ro-RO"/>
        </w:rPr>
        <w:t xml:space="preserve"> Anexa nr.7 la Raportul de audit.</w:t>
      </w:r>
    </w:p>
  </w:footnote>
  <w:footnote w:id="13">
    <w:p w:rsidR="00F24302" w:rsidRPr="00731EB2" w:rsidRDefault="00F24302" w:rsidP="00F24302">
      <w:pPr>
        <w:spacing w:after="0" w:line="240" w:lineRule="auto"/>
        <w:jc w:val="both"/>
        <w:rPr>
          <w:rFonts w:ascii="Times New Roman" w:hAnsi="Times New Roman"/>
          <w:bCs/>
          <w:sz w:val="20"/>
          <w:szCs w:val="20"/>
          <w:lang w:val="ro-RO"/>
        </w:rPr>
      </w:pPr>
      <w:r w:rsidRPr="00430C23">
        <w:rPr>
          <w:rStyle w:val="a7"/>
          <w:rFonts w:ascii="Times New Roman" w:hAnsi="Times New Roman"/>
          <w:sz w:val="18"/>
          <w:szCs w:val="18"/>
          <w:lang w:val="ro-RO"/>
        </w:rPr>
        <w:footnoteRef/>
      </w:r>
      <w:r w:rsidRPr="00430C23">
        <w:rPr>
          <w:rFonts w:ascii="Times New Roman" w:hAnsi="Times New Roman"/>
          <w:sz w:val="18"/>
          <w:szCs w:val="18"/>
          <w:lang w:val="ro-RO"/>
        </w:rPr>
        <w:t xml:space="preserve"> </w:t>
      </w:r>
      <w:r>
        <w:rPr>
          <w:rFonts w:ascii="Times New Roman" w:hAnsi="Times New Roman"/>
          <w:bCs/>
          <w:sz w:val="18"/>
          <w:szCs w:val="18"/>
          <w:lang w:val="ro-RO"/>
        </w:rPr>
        <w:t>Cerințele</w:t>
      </w:r>
      <w:r w:rsidRPr="00430C23">
        <w:rPr>
          <w:rFonts w:ascii="Times New Roman" w:hAnsi="Times New Roman"/>
          <w:bCs/>
          <w:sz w:val="18"/>
          <w:szCs w:val="18"/>
          <w:lang w:val="ro-RO"/>
        </w:rPr>
        <w:t xml:space="preserve"> la întocmirea Raportului anual 2014, pe I semestru/9 luni și anual 2015 despre executarea bugetelor unităților administrativ-teritoriale/autorităților publice centrale și bugetelor instituțiilo</w:t>
      </w:r>
      <w:r>
        <w:rPr>
          <w:rFonts w:ascii="Times New Roman" w:hAnsi="Times New Roman"/>
          <w:bCs/>
          <w:sz w:val="18"/>
          <w:szCs w:val="18"/>
          <w:lang w:val="ro-RO"/>
        </w:rPr>
        <w:t>r publice finanțate de la buget, aprobat prin Ordinul ministrului Finanțelor nr.174 din 19.12.2014 (în continuare – Cerințele aprobate prin</w:t>
      </w:r>
      <w:r w:rsidRPr="004B4A21">
        <w:rPr>
          <w:rFonts w:ascii="Times New Roman" w:hAnsi="Times New Roman"/>
          <w:bCs/>
          <w:sz w:val="18"/>
          <w:szCs w:val="18"/>
          <w:lang w:val="ro-RO"/>
        </w:rPr>
        <w:t xml:space="preserve"> Ordinul ministrului </w:t>
      </w:r>
      <w:r>
        <w:rPr>
          <w:rFonts w:ascii="Times New Roman" w:hAnsi="Times New Roman"/>
          <w:bCs/>
          <w:sz w:val="18"/>
          <w:szCs w:val="18"/>
          <w:lang w:val="ro-RO"/>
        </w:rPr>
        <w:t>F</w:t>
      </w:r>
      <w:r w:rsidRPr="004B4A21">
        <w:rPr>
          <w:rFonts w:ascii="Times New Roman" w:hAnsi="Times New Roman"/>
          <w:bCs/>
          <w:sz w:val="18"/>
          <w:szCs w:val="18"/>
          <w:lang w:val="ro-RO"/>
        </w:rPr>
        <w:t>inanțelor nr.174 din</w:t>
      </w:r>
      <w:r>
        <w:rPr>
          <w:rFonts w:ascii="Times New Roman" w:hAnsi="Times New Roman"/>
          <w:bCs/>
          <w:sz w:val="18"/>
          <w:szCs w:val="18"/>
          <w:lang w:val="ro-RO"/>
        </w:rPr>
        <w:t xml:space="preserve"> </w:t>
      </w:r>
      <w:r w:rsidRPr="004B4A21">
        <w:rPr>
          <w:rFonts w:ascii="Times New Roman" w:hAnsi="Times New Roman"/>
          <w:bCs/>
          <w:sz w:val="18"/>
          <w:szCs w:val="18"/>
          <w:lang w:val="ro-RO"/>
        </w:rPr>
        <w:t>19.12.201</w:t>
      </w:r>
      <w:r>
        <w:rPr>
          <w:rFonts w:ascii="Times New Roman" w:hAnsi="Times New Roman"/>
          <w:bCs/>
          <w:sz w:val="18"/>
          <w:szCs w:val="18"/>
          <w:lang w:val="ro-RO"/>
        </w:rPr>
        <w:t>4).</w:t>
      </w:r>
    </w:p>
  </w:footnote>
  <w:footnote w:id="14">
    <w:p w:rsidR="00F24302" w:rsidRPr="00EC6D62" w:rsidRDefault="00F24302" w:rsidP="00F24302">
      <w:pPr>
        <w:pStyle w:val="a6"/>
        <w:jc w:val="both"/>
        <w:rPr>
          <w:rFonts w:ascii="Times New Roman" w:hAnsi="Times New Roman"/>
          <w:sz w:val="18"/>
          <w:szCs w:val="18"/>
          <w:lang w:val="ro-RO"/>
        </w:rPr>
      </w:pPr>
      <w:r w:rsidRPr="00EC6D62">
        <w:rPr>
          <w:rStyle w:val="a7"/>
          <w:rFonts w:ascii="Times New Roman" w:hAnsi="Times New Roman"/>
          <w:sz w:val="18"/>
          <w:szCs w:val="18"/>
          <w:lang w:val="ro-RO"/>
        </w:rPr>
        <w:footnoteRef/>
      </w:r>
      <w:r w:rsidRPr="00EC6D62">
        <w:rPr>
          <w:rFonts w:ascii="Times New Roman" w:hAnsi="Times New Roman"/>
          <w:sz w:val="18"/>
          <w:szCs w:val="18"/>
          <w:lang w:val="ro-RO"/>
        </w:rPr>
        <w:t xml:space="preserve"> Legea nr.229 din 23.09.2010 privind controlul financiar public intern</w:t>
      </w:r>
      <w:r>
        <w:rPr>
          <w:rFonts w:ascii="Times New Roman" w:hAnsi="Times New Roman"/>
          <w:sz w:val="18"/>
          <w:szCs w:val="18"/>
          <w:lang w:val="ro-RO"/>
        </w:rPr>
        <w:t xml:space="preserve"> (în continuare – Legea nr.229 din 23.09.2010)</w:t>
      </w:r>
      <w:r w:rsidRPr="00EC6D62">
        <w:rPr>
          <w:rFonts w:ascii="Times New Roman" w:hAnsi="Times New Roman"/>
          <w:sz w:val="18"/>
          <w:szCs w:val="18"/>
          <w:lang w:val="ro-RO"/>
        </w:rPr>
        <w:t>; Standardele naționale de control intern în sectorul public, aprobate prin Ordinul ministrulu</w:t>
      </w:r>
      <w:r>
        <w:rPr>
          <w:rFonts w:ascii="Times New Roman" w:hAnsi="Times New Roman"/>
          <w:sz w:val="18"/>
          <w:szCs w:val="18"/>
          <w:lang w:val="ro-RO"/>
        </w:rPr>
        <w:t>i F</w:t>
      </w:r>
      <w:r w:rsidRPr="00EC6D62">
        <w:rPr>
          <w:rFonts w:ascii="Times New Roman" w:hAnsi="Times New Roman"/>
          <w:sz w:val="18"/>
          <w:szCs w:val="18"/>
          <w:lang w:val="ro-RO"/>
        </w:rPr>
        <w:t>inanțelor nr.51 din 23.06.2009; Manualul de management financiar și control.</w:t>
      </w:r>
    </w:p>
  </w:footnote>
  <w:footnote w:id="15">
    <w:p w:rsidR="00F24302" w:rsidRPr="00C060E4" w:rsidRDefault="00F24302" w:rsidP="00F24302">
      <w:pPr>
        <w:spacing w:line="240" w:lineRule="auto"/>
        <w:jc w:val="both"/>
        <w:rPr>
          <w:rFonts w:ascii="Times New Roman" w:hAnsi="Times New Roman"/>
          <w:sz w:val="18"/>
          <w:szCs w:val="18"/>
          <w:lang w:val="ro-RO"/>
        </w:rPr>
      </w:pPr>
      <w:r w:rsidRPr="00C060E4">
        <w:rPr>
          <w:rStyle w:val="a7"/>
          <w:rFonts w:ascii="Times New Roman" w:hAnsi="Times New Roman"/>
          <w:sz w:val="18"/>
          <w:szCs w:val="18"/>
          <w:lang w:val="ro-RO"/>
        </w:rPr>
        <w:footnoteRef/>
      </w:r>
      <w:r w:rsidRPr="00C060E4">
        <w:rPr>
          <w:rFonts w:ascii="Times New Roman" w:hAnsi="Times New Roman"/>
          <w:sz w:val="18"/>
          <w:szCs w:val="18"/>
          <w:lang w:val="ro-RO"/>
        </w:rPr>
        <w:t xml:space="preserve"> 34,3 mii lei</w:t>
      </w:r>
      <w:r>
        <w:rPr>
          <w:rFonts w:ascii="Times New Roman" w:hAnsi="Times New Roman"/>
          <w:sz w:val="18"/>
          <w:szCs w:val="18"/>
          <w:lang w:val="ro-RO"/>
        </w:rPr>
        <w:t xml:space="preserve"> –</w:t>
      </w:r>
      <w:r w:rsidRPr="00C060E4">
        <w:rPr>
          <w:rFonts w:ascii="Times New Roman" w:hAnsi="Times New Roman"/>
          <w:sz w:val="18"/>
          <w:szCs w:val="18"/>
          <w:lang w:val="ro-RO"/>
        </w:rPr>
        <w:t xml:space="preserve"> impozit</w:t>
      </w:r>
      <w:r>
        <w:rPr>
          <w:rFonts w:ascii="Times New Roman" w:hAnsi="Times New Roman"/>
          <w:sz w:val="18"/>
          <w:szCs w:val="18"/>
          <w:lang w:val="ro-RO"/>
        </w:rPr>
        <w:t>ul</w:t>
      </w:r>
      <w:r w:rsidRPr="00C060E4">
        <w:rPr>
          <w:rFonts w:ascii="Times New Roman" w:hAnsi="Times New Roman"/>
          <w:sz w:val="18"/>
          <w:szCs w:val="18"/>
          <w:lang w:val="ro-RO"/>
        </w:rPr>
        <w:t xml:space="preserve"> funciar </w:t>
      </w:r>
      <w:r>
        <w:rPr>
          <w:rFonts w:ascii="Times New Roman" w:hAnsi="Times New Roman"/>
          <w:sz w:val="18"/>
          <w:szCs w:val="18"/>
          <w:lang w:val="ro-RO"/>
        </w:rPr>
        <w:t xml:space="preserve">pe </w:t>
      </w:r>
      <w:r w:rsidRPr="00C060E4">
        <w:rPr>
          <w:rFonts w:ascii="Times New Roman" w:hAnsi="Times New Roman"/>
          <w:sz w:val="18"/>
          <w:szCs w:val="18"/>
          <w:lang w:val="ro-RO"/>
        </w:rPr>
        <w:t xml:space="preserve">4 ani; 1,9 mii lei </w:t>
      </w:r>
      <w:r>
        <w:rPr>
          <w:rFonts w:ascii="Times New Roman" w:hAnsi="Times New Roman"/>
          <w:sz w:val="18"/>
          <w:szCs w:val="18"/>
          <w:lang w:val="ro-RO"/>
        </w:rPr>
        <w:t xml:space="preserve">– </w:t>
      </w:r>
      <w:r w:rsidRPr="00C060E4">
        <w:rPr>
          <w:rFonts w:ascii="Times New Roman" w:hAnsi="Times New Roman"/>
          <w:sz w:val="18"/>
          <w:szCs w:val="18"/>
          <w:lang w:val="ro-RO"/>
        </w:rPr>
        <w:t>taxa pentru amenajarea teritoriului</w:t>
      </w:r>
      <w:r>
        <w:rPr>
          <w:rFonts w:ascii="Times New Roman" w:hAnsi="Times New Roman"/>
          <w:sz w:val="18"/>
          <w:szCs w:val="18"/>
          <w:lang w:val="ro-RO"/>
        </w:rPr>
        <w:t>.</w:t>
      </w:r>
      <w:r w:rsidRPr="00C060E4">
        <w:rPr>
          <w:rFonts w:ascii="Times New Roman" w:hAnsi="Times New Roman"/>
          <w:sz w:val="18"/>
          <w:szCs w:val="18"/>
          <w:lang w:val="ro-RO"/>
        </w:rPr>
        <w:t xml:space="preserve"> </w:t>
      </w:r>
    </w:p>
  </w:footnote>
  <w:footnote w:id="16">
    <w:p w:rsidR="00F24302" w:rsidRPr="009D3236" w:rsidRDefault="00F24302" w:rsidP="00F24302">
      <w:pPr>
        <w:pStyle w:val="a6"/>
        <w:rPr>
          <w:lang w:val="en-US"/>
        </w:rPr>
      </w:pPr>
      <w:r w:rsidRPr="00EC6D62">
        <w:rPr>
          <w:rStyle w:val="a7"/>
          <w:rFonts w:ascii="Times New Roman" w:hAnsi="Times New Roman"/>
          <w:sz w:val="18"/>
          <w:szCs w:val="18"/>
          <w:lang w:val="ro-RO"/>
        </w:rPr>
        <w:footnoteRef/>
      </w:r>
      <w:r>
        <w:rPr>
          <w:rFonts w:ascii="Times New Roman" w:hAnsi="Times New Roman"/>
          <w:sz w:val="18"/>
          <w:szCs w:val="18"/>
          <w:lang w:val="ro-RO"/>
        </w:rPr>
        <w:t xml:space="preserve"> Anexa nr.7 la R</w:t>
      </w:r>
      <w:r w:rsidRPr="00EC6D62">
        <w:rPr>
          <w:rFonts w:ascii="Times New Roman" w:hAnsi="Times New Roman"/>
          <w:sz w:val="18"/>
          <w:szCs w:val="18"/>
          <w:lang w:val="ro-RO"/>
        </w:rPr>
        <w:t>aport</w:t>
      </w:r>
      <w:r>
        <w:rPr>
          <w:rFonts w:ascii="Times New Roman" w:hAnsi="Times New Roman"/>
          <w:sz w:val="18"/>
          <w:szCs w:val="18"/>
          <w:lang w:val="ro-RO"/>
        </w:rPr>
        <w:t>ul de audit.</w:t>
      </w:r>
    </w:p>
  </w:footnote>
  <w:footnote w:id="17">
    <w:p w:rsidR="00F24302" w:rsidRPr="0024450F" w:rsidRDefault="00F24302" w:rsidP="00F24302">
      <w:pPr>
        <w:pStyle w:val="a6"/>
        <w:jc w:val="both"/>
        <w:rPr>
          <w:rFonts w:ascii="Times New Roman" w:hAnsi="Times New Roman"/>
          <w:sz w:val="18"/>
          <w:szCs w:val="18"/>
          <w:lang w:val="ro-RO"/>
        </w:rPr>
      </w:pPr>
      <w:r w:rsidRPr="0024450F">
        <w:rPr>
          <w:rStyle w:val="a7"/>
          <w:rFonts w:ascii="Times New Roman" w:hAnsi="Times New Roman"/>
          <w:sz w:val="18"/>
          <w:szCs w:val="18"/>
          <w:lang w:val="ro-RO"/>
        </w:rPr>
        <w:footnoteRef/>
      </w:r>
      <w:r w:rsidRPr="0024450F">
        <w:rPr>
          <w:rFonts w:ascii="Times New Roman" w:hAnsi="Times New Roman"/>
          <w:sz w:val="18"/>
          <w:szCs w:val="18"/>
          <w:lang w:val="ro-RO"/>
        </w:rPr>
        <w:t xml:space="preserve"> Pct.188 din Instrucțiunea cu privire la evidența contabilă în contabilitățile centralizate din cadrul primăriilor satelor (comunelor), orașelor</w:t>
      </w:r>
      <w:r>
        <w:rPr>
          <w:rFonts w:ascii="Times New Roman" w:hAnsi="Times New Roman"/>
          <w:sz w:val="18"/>
          <w:szCs w:val="18"/>
          <w:lang w:val="ro-RO"/>
        </w:rPr>
        <w:t>,</w:t>
      </w:r>
      <w:r w:rsidRPr="0024450F">
        <w:rPr>
          <w:rFonts w:ascii="Times New Roman" w:hAnsi="Times New Roman"/>
          <w:sz w:val="18"/>
          <w:szCs w:val="18"/>
          <w:lang w:val="ro-RO"/>
        </w:rPr>
        <w:t xml:space="preserve"> aprobată prin Ordinul ministrului </w:t>
      </w:r>
      <w:r>
        <w:rPr>
          <w:rFonts w:ascii="Times New Roman" w:hAnsi="Times New Roman"/>
          <w:sz w:val="18"/>
          <w:szCs w:val="18"/>
          <w:lang w:val="ro-RO"/>
        </w:rPr>
        <w:t>F</w:t>
      </w:r>
      <w:r w:rsidRPr="0024450F">
        <w:rPr>
          <w:rFonts w:ascii="Times New Roman" w:hAnsi="Times New Roman"/>
          <w:sz w:val="18"/>
          <w:szCs w:val="18"/>
          <w:lang w:val="ro-RO"/>
        </w:rPr>
        <w:t xml:space="preserve">inanțelor nr.94 din 19.07.2010 (în continuare </w:t>
      </w:r>
      <w:r w:rsidRPr="0024450F">
        <w:rPr>
          <w:rFonts w:ascii="Times New Roman" w:eastAsia="Times New Roman" w:hAnsi="Times New Roman"/>
          <w:sz w:val="18"/>
          <w:szCs w:val="18"/>
          <w:lang w:val="ro-RO"/>
        </w:rPr>
        <w:t>–</w:t>
      </w:r>
      <w:r w:rsidRPr="0024450F">
        <w:rPr>
          <w:rFonts w:ascii="Times New Roman" w:hAnsi="Times New Roman"/>
          <w:sz w:val="18"/>
          <w:szCs w:val="18"/>
          <w:lang w:val="ro-RO"/>
        </w:rPr>
        <w:t xml:space="preserve"> Instrucțiunea aprobată prin Ordinul ministrului </w:t>
      </w:r>
      <w:r>
        <w:rPr>
          <w:rFonts w:ascii="Times New Roman" w:hAnsi="Times New Roman"/>
          <w:sz w:val="18"/>
          <w:szCs w:val="18"/>
          <w:lang w:val="ro-RO"/>
        </w:rPr>
        <w:t>F</w:t>
      </w:r>
      <w:r w:rsidRPr="0024450F">
        <w:rPr>
          <w:rFonts w:ascii="Times New Roman" w:hAnsi="Times New Roman"/>
          <w:sz w:val="18"/>
          <w:szCs w:val="18"/>
          <w:lang w:val="ro-RO"/>
        </w:rPr>
        <w:t>inanțelor nr.94 din 19.07.2010).</w:t>
      </w:r>
    </w:p>
  </w:footnote>
  <w:footnote w:id="18">
    <w:p w:rsidR="00F24302" w:rsidRPr="0024450F" w:rsidRDefault="00F24302" w:rsidP="00F24302">
      <w:pPr>
        <w:pStyle w:val="a6"/>
        <w:jc w:val="both"/>
        <w:rPr>
          <w:rFonts w:ascii="Times New Roman" w:hAnsi="Times New Roman"/>
          <w:sz w:val="18"/>
          <w:szCs w:val="18"/>
          <w:lang w:val="ro-RO"/>
        </w:rPr>
      </w:pPr>
      <w:r w:rsidRPr="0024450F">
        <w:rPr>
          <w:rStyle w:val="a7"/>
          <w:rFonts w:ascii="Times New Roman" w:hAnsi="Times New Roman"/>
          <w:sz w:val="18"/>
          <w:szCs w:val="18"/>
          <w:lang w:val="ro-RO"/>
        </w:rPr>
        <w:footnoteRef/>
      </w:r>
      <w:r w:rsidRPr="0024450F">
        <w:rPr>
          <w:rFonts w:ascii="Times New Roman" w:hAnsi="Times New Roman"/>
          <w:sz w:val="18"/>
          <w:szCs w:val="18"/>
          <w:lang w:val="ro-RO"/>
        </w:rPr>
        <w:t xml:space="preserve"> Evidența analitică a sumelor calculate se ține în registrul f.nr.292</w:t>
      </w:r>
      <w:r>
        <w:rPr>
          <w:rFonts w:ascii="Times New Roman" w:hAnsi="Times New Roman"/>
          <w:sz w:val="18"/>
          <w:szCs w:val="18"/>
          <w:lang w:val="ro-RO"/>
        </w:rPr>
        <w:t>,</w:t>
      </w:r>
      <w:r w:rsidRPr="0024450F">
        <w:rPr>
          <w:rFonts w:ascii="Times New Roman" w:hAnsi="Times New Roman"/>
          <w:sz w:val="18"/>
          <w:szCs w:val="18"/>
          <w:lang w:val="ro-RO"/>
        </w:rPr>
        <w:t xml:space="preserve"> sub aspectul debitorilor.</w:t>
      </w:r>
    </w:p>
  </w:footnote>
  <w:footnote w:id="19">
    <w:p w:rsidR="00F24302" w:rsidRPr="009A2EAF" w:rsidRDefault="00F24302" w:rsidP="00F24302">
      <w:pPr>
        <w:pStyle w:val="a6"/>
        <w:rPr>
          <w:rFonts w:ascii="Times New Roman" w:hAnsi="Times New Roman"/>
          <w:lang w:val="ro-RO"/>
        </w:rPr>
      </w:pPr>
      <w:r w:rsidRPr="0024450F">
        <w:rPr>
          <w:rStyle w:val="a7"/>
          <w:rFonts w:ascii="Times New Roman" w:hAnsi="Times New Roman"/>
          <w:sz w:val="18"/>
          <w:szCs w:val="18"/>
          <w:lang w:val="ro-RO"/>
        </w:rPr>
        <w:footnoteRef/>
      </w:r>
      <w:r>
        <w:rPr>
          <w:rFonts w:ascii="Times New Roman" w:hAnsi="Times New Roman"/>
          <w:sz w:val="18"/>
          <w:szCs w:val="18"/>
          <w:lang w:val="ro-RO"/>
        </w:rPr>
        <w:t xml:space="preserve"> Anexa nr.7 la R</w:t>
      </w:r>
      <w:r w:rsidRPr="0024450F">
        <w:rPr>
          <w:rFonts w:ascii="Times New Roman" w:hAnsi="Times New Roman"/>
          <w:sz w:val="18"/>
          <w:szCs w:val="18"/>
          <w:lang w:val="ro-RO"/>
        </w:rPr>
        <w:t>aport</w:t>
      </w:r>
      <w:r>
        <w:rPr>
          <w:rFonts w:ascii="Times New Roman" w:hAnsi="Times New Roman"/>
          <w:sz w:val="18"/>
          <w:szCs w:val="18"/>
          <w:lang w:val="ro-RO"/>
        </w:rPr>
        <w:t>ul de audit</w:t>
      </w:r>
      <w:r w:rsidRPr="0024450F">
        <w:rPr>
          <w:rFonts w:ascii="Times New Roman" w:hAnsi="Times New Roman"/>
          <w:sz w:val="18"/>
          <w:szCs w:val="18"/>
          <w:lang w:val="ro-RO"/>
        </w:rPr>
        <w:t>.</w:t>
      </w:r>
    </w:p>
  </w:footnote>
  <w:footnote w:id="20">
    <w:p w:rsidR="00F24302" w:rsidRPr="009361A6" w:rsidRDefault="00F24302" w:rsidP="00F24302">
      <w:pPr>
        <w:pStyle w:val="a6"/>
        <w:rPr>
          <w:rFonts w:ascii="Times New Roman" w:hAnsi="Times New Roman"/>
          <w:sz w:val="18"/>
          <w:szCs w:val="18"/>
          <w:lang w:val="en-US"/>
        </w:rPr>
      </w:pPr>
      <w:r w:rsidRPr="009361A6">
        <w:rPr>
          <w:rStyle w:val="a7"/>
          <w:rFonts w:ascii="Times New Roman" w:hAnsi="Times New Roman"/>
          <w:sz w:val="18"/>
          <w:szCs w:val="18"/>
        </w:rPr>
        <w:footnoteRef/>
      </w:r>
      <w:r w:rsidRPr="009361A6">
        <w:rPr>
          <w:rFonts w:ascii="Times New Roman" w:hAnsi="Times New Roman"/>
          <w:sz w:val="18"/>
          <w:szCs w:val="18"/>
          <w:lang w:val="en-US"/>
        </w:rPr>
        <w:t xml:space="preserve"> </w:t>
      </w:r>
      <w:r>
        <w:rPr>
          <w:rFonts w:ascii="Times New Roman" w:hAnsi="Times New Roman"/>
          <w:sz w:val="18"/>
          <w:szCs w:val="18"/>
          <w:lang w:val="ro-RO"/>
        </w:rPr>
        <w:t>A</w:t>
      </w:r>
      <w:r w:rsidRPr="009361A6">
        <w:rPr>
          <w:rFonts w:ascii="Times New Roman" w:hAnsi="Times New Roman"/>
          <w:sz w:val="18"/>
          <w:szCs w:val="18"/>
          <w:lang w:val="ro-RO"/>
        </w:rPr>
        <w:t>nex</w:t>
      </w:r>
      <w:r>
        <w:rPr>
          <w:rFonts w:ascii="Times New Roman" w:hAnsi="Times New Roman"/>
          <w:sz w:val="18"/>
          <w:szCs w:val="18"/>
          <w:lang w:val="ro-RO"/>
        </w:rPr>
        <w:t>a nr.7 la R</w:t>
      </w:r>
      <w:r w:rsidRPr="009361A6">
        <w:rPr>
          <w:rFonts w:ascii="Times New Roman" w:hAnsi="Times New Roman"/>
          <w:sz w:val="18"/>
          <w:szCs w:val="18"/>
          <w:lang w:val="ro-RO"/>
        </w:rPr>
        <w:t>aport</w:t>
      </w:r>
      <w:r>
        <w:rPr>
          <w:rFonts w:ascii="Times New Roman" w:hAnsi="Times New Roman"/>
          <w:sz w:val="18"/>
          <w:szCs w:val="18"/>
          <w:lang w:val="ro-RO"/>
        </w:rPr>
        <w:t>ul de audit</w:t>
      </w:r>
      <w:r w:rsidRPr="009361A6">
        <w:rPr>
          <w:rFonts w:ascii="Times New Roman" w:hAnsi="Times New Roman"/>
          <w:sz w:val="18"/>
          <w:szCs w:val="18"/>
          <w:lang w:val="ro-RO"/>
        </w:rPr>
        <w:t>.</w:t>
      </w:r>
    </w:p>
  </w:footnote>
  <w:footnote w:id="21">
    <w:p w:rsidR="00F24302" w:rsidRPr="009361A6" w:rsidRDefault="00F24302" w:rsidP="00F24302">
      <w:pPr>
        <w:spacing w:after="0" w:line="240" w:lineRule="auto"/>
        <w:jc w:val="both"/>
        <w:rPr>
          <w:rFonts w:ascii="Times New Roman" w:eastAsia="Times New Roman" w:hAnsi="Times New Roman"/>
          <w:sz w:val="18"/>
          <w:szCs w:val="18"/>
          <w:highlight w:val="green"/>
          <w:lang w:val="ro-RO"/>
        </w:rPr>
      </w:pPr>
      <w:r w:rsidRPr="009361A6">
        <w:rPr>
          <w:rStyle w:val="a7"/>
          <w:rFonts w:ascii="Times New Roman" w:hAnsi="Times New Roman"/>
          <w:sz w:val="18"/>
          <w:szCs w:val="18"/>
          <w:lang w:val="ro-RO"/>
        </w:rPr>
        <w:footnoteRef/>
      </w:r>
      <w:r w:rsidRPr="009361A6">
        <w:rPr>
          <w:rFonts w:ascii="Times New Roman" w:hAnsi="Times New Roman"/>
          <w:sz w:val="18"/>
          <w:szCs w:val="18"/>
          <w:lang w:val="ro-RO"/>
        </w:rPr>
        <w:t xml:space="preserve"> Art.10</w:t>
      </w:r>
      <w:r w:rsidRPr="009361A6">
        <w:rPr>
          <w:rFonts w:ascii="Times New Roman" w:hAnsi="Times New Roman"/>
          <w:sz w:val="18"/>
          <w:szCs w:val="18"/>
          <w:vertAlign w:val="superscript"/>
          <w:lang w:val="ro-RO"/>
        </w:rPr>
        <w:t>1</w:t>
      </w:r>
      <w:r w:rsidRPr="009361A6">
        <w:rPr>
          <w:rFonts w:ascii="Times New Roman" w:hAnsi="Times New Roman"/>
          <w:sz w:val="18"/>
          <w:szCs w:val="18"/>
          <w:lang w:val="ro-RO"/>
        </w:rPr>
        <w:t xml:space="preserve"> alin.(1) din </w:t>
      </w:r>
      <w:r w:rsidRPr="009361A6">
        <w:rPr>
          <w:rFonts w:ascii="Times New Roman" w:eastAsia="Times New Roman" w:hAnsi="Times New Roman"/>
          <w:sz w:val="18"/>
          <w:szCs w:val="18"/>
          <w:lang w:val="ro-RO"/>
        </w:rPr>
        <w:t xml:space="preserve">Legea nr.1308-XII din 25.07.1997 privind prețul normativ și modul de vînzare-cumpărare a pămîntului (în continuare – Legea nr.1308-XII din 25.07.1997). </w:t>
      </w:r>
    </w:p>
  </w:footnote>
  <w:footnote w:id="22">
    <w:p w:rsidR="00F24302" w:rsidRPr="009361A6" w:rsidRDefault="00F24302" w:rsidP="00F24302">
      <w:pPr>
        <w:pStyle w:val="a6"/>
        <w:rPr>
          <w:rFonts w:ascii="Times New Roman" w:hAnsi="Times New Roman"/>
          <w:sz w:val="18"/>
          <w:szCs w:val="18"/>
          <w:lang w:val="en-US"/>
        </w:rPr>
      </w:pPr>
      <w:r w:rsidRPr="009361A6">
        <w:rPr>
          <w:rStyle w:val="a7"/>
          <w:rFonts w:ascii="Times New Roman" w:hAnsi="Times New Roman"/>
          <w:sz w:val="18"/>
          <w:szCs w:val="18"/>
        </w:rPr>
        <w:footnoteRef/>
      </w:r>
      <w:r w:rsidRPr="009361A6">
        <w:rPr>
          <w:rFonts w:ascii="Times New Roman" w:hAnsi="Times New Roman"/>
          <w:sz w:val="18"/>
          <w:szCs w:val="18"/>
          <w:lang w:val="en-US"/>
        </w:rPr>
        <w:t xml:space="preserve"> </w:t>
      </w:r>
      <w:r>
        <w:rPr>
          <w:rFonts w:ascii="Times New Roman" w:hAnsi="Times New Roman"/>
          <w:sz w:val="18"/>
          <w:szCs w:val="18"/>
          <w:lang w:val="ro-RO"/>
        </w:rPr>
        <w:t>Anexa nr.7 la R</w:t>
      </w:r>
      <w:r w:rsidRPr="009361A6">
        <w:rPr>
          <w:rFonts w:ascii="Times New Roman" w:hAnsi="Times New Roman"/>
          <w:sz w:val="18"/>
          <w:szCs w:val="18"/>
          <w:lang w:val="ro-RO"/>
        </w:rPr>
        <w:t>aport</w:t>
      </w:r>
      <w:r>
        <w:rPr>
          <w:rFonts w:ascii="Times New Roman" w:hAnsi="Times New Roman"/>
          <w:sz w:val="18"/>
          <w:szCs w:val="18"/>
          <w:lang w:val="ro-RO"/>
        </w:rPr>
        <w:t>ul de audit</w:t>
      </w:r>
      <w:r w:rsidRPr="009361A6">
        <w:rPr>
          <w:rFonts w:ascii="Times New Roman" w:hAnsi="Times New Roman"/>
          <w:sz w:val="18"/>
          <w:szCs w:val="18"/>
          <w:lang w:val="ro-RO"/>
        </w:rPr>
        <w:t>.</w:t>
      </w:r>
    </w:p>
  </w:footnote>
  <w:footnote w:id="23">
    <w:p w:rsidR="00F24302" w:rsidRPr="009361A6" w:rsidRDefault="00F24302" w:rsidP="00F24302">
      <w:pPr>
        <w:pStyle w:val="a6"/>
        <w:jc w:val="both"/>
        <w:rPr>
          <w:rFonts w:ascii="Times New Roman" w:hAnsi="Times New Roman"/>
          <w:sz w:val="18"/>
          <w:szCs w:val="18"/>
          <w:lang w:val="ro-RO"/>
        </w:rPr>
      </w:pPr>
      <w:r w:rsidRPr="009361A6">
        <w:rPr>
          <w:rStyle w:val="a7"/>
          <w:rFonts w:ascii="Times New Roman" w:hAnsi="Times New Roman"/>
          <w:sz w:val="18"/>
          <w:szCs w:val="18"/>
          <w:lang w:val="ro-RO"/>
        </w:rPr>
        <w:footnoteRef/>
      </w:r>
      <w:r w:rsidRPr="009361A6">
        <w:rPr>
          <w:rFonts w:ascii="Times New Roman" w:hAnsi="Times New Roman"/>
          <w:sz w:val="18"/>
          <w:szCs w:val="18"/>
          <w:lang w:val="ro-RO"/>
        </w:rPr>
        <w:t xml:space="preserve"> Pct.22 din Regulamentul privind licitațiile cu strigare și cu reducere, aprobat prin HG nr.136 din 10.02.2009.</w:t>
      </w:r>
    </w:p>
  </w:footnote>
  <w:footnote w:id="24">
    <w:p w:rsidR="00F24302" w:rsidRPr="009361A6" w:rsidRDefault="00F24302" w:rsidP="00F24302">
      <w:pPr>
        <w:pStyle w:val="a6"/>
        <w:rPr>
          <w:rFonts w:ascii="Times New Roman" w:hAnsi="Times New Roman"/>
          <w:sz w:val="18"/>
          <w:szCs w:val="18"/>
          <w:lang w:val="en-US"/>
        </w:rPr>
      </w:pPr>
      <w:r w:rsidRPr="009361A6">
        <w:rPr>
          <w:rStyle w:val="a7"/>
          <w:rFonts w:ascii="Times New Roman" w:hAnsi="Times New Roman"/>
          <w:sz w:val="18"/>
          <w:szCs w:val="18"/>
        </w:rPr>
        <w:footnoteRef/>
      </w:r>
      <w:r w:rsidRPr="009361A6">
        <w:rPr>
          <w:rFonts w:ascii="Times New Roman" w:hAnsi="Times New Roman"/>
          <w:sz w:val="18"/>
          <w:szCs w:val="18"/>
          <w:lang w:val="en-US"/>
        </w:rPr>
        <w:t xml:space="preserve"> </w:t>
      </w:r>
      <w:r>
        <w:rPr>
          <w:rFonts w:ascii="Times New Roman" w:hAnsi="Times New Roman"/>
          <w:sz w:val="18"/>
          <w:szCs w:val="18"/>
          <w:lang w:val="ro-RO"/>
        </w:rPr>
        <w:t>Anexa nr.7 la R</w:t>
      </w:r>
      <w:r w:rsidRPr="009361A6">
        <w:rPr>
          <w:rFonts w:ascii="Times New Roman" w:hAnsi="Times New Roman"/>
          <w:sz w:val="18"/>
          <w:szCs w:val="18"/>
          <w:lang w:val="ro-RO"/>
        </w:rPr>
        <w:t>aport</w:t>
      </w:r>
      <w:r>
        <w:rPr>
          <w:rFonts w:ascii="Times New Roman" w:hAnsi="Times New Roman"/>
          <w:sz w:val="18"/>
          <w:szCs w:val="18"/>
          <w:lang w:val="ro-RO"/>
        </w:rPr>
        <w:t>ul de audit</w:t>
      </w:r>
      <w:r w:rsidRPr="009361A6">
        <w:rPr>
          <w:rFonts w:ascii="Times New Roman" w:hAnsi="Times New Roman"/>
          <w:sz w:val="18"/>
          <w:szCs w:val="18"/>
          <w:lang w:val="ro-RO"/>
        </w:rPr>
        <w:t>.</w:t>
      </w:r>
    </w:p>
  </w:footnote>
  <w:footnote w:id="25">
    <w:p w:rsidR="00F24302" w:rsidRPr="00257463" w:rsidRDefault="00F24302" w:rsidP="00F24302">
      <w:pPr>
        <w:pStyle w:val="a6"/>
        <w:rPr>
          <w:lang w:val="en-US"/>
        </w:rPr>
      </w:pPr>
      <w:r w:rsidRPr="009361A6">
        <w:rPr>
          <w:rStyle w:val="a7"/>
          <w:rFonts w:ascii="Times New Roman" w:hAnsi="Times New Roman"/>
          <w:sz w:val="18"/>
          <w:szCs w:val="18"/>
        </w:rPr>
        <w:footnoteRef/>
      </w:r>
      <w:r w:rsidRPr="009361A6">
        <w:rPr>
          <w:rFonts w:ascii="Times New Roman" w:hAnsi="Times New Roman"/>
          <w:sz w:val="18"/>
          <w:szCs w:val="18"/>
          <w:lang w:val="en-US"/>
        </w:rPr>
        <w:t xml:space="preserve"> </w:t>
      </w:r>
      <w:r>
        <w:rPr>
          <w:rFonts w:ascii="Times New Roman" w:hAnsi="Times New Roman"/>
          <w:sz w:val="18"/>
          <w:szCs w:val="18"/>
          <w:lang w:val="ro-RO"/>
        </w:rPr>
        <w:t>Anexa nr.7 la R</w:t>
      </w:r>
      <w:r w:rsidRPr="009361A6">
        <w:rPr>
          <w:rFonts w:ascii="Times New Roman" w:hAnsi="Times New Roman"/>
          <w:sz w:val="18"/>
          <w:szCs w:val="18"/>
          <w:lang w:val="ro-RO"/>
        </w:rPr>
        <w:t>aport</w:t>
      </w:r>
      <w:r>
        <w:rPr>
          <w:rFonts w:ascii="Times New Roman" w:hAnsi="Times New Roman"/>
          <w:sz w:val="18"/>
          <w:szCs w:val="18"/>
          <w:lang w:val="ro-RO"/>
        </w:rPr>
        <w:t>ul de audit</w:t>
      </w:r>
      <w:r w:rsidRPr="009361A6">
        <w:rPr>
          <w:rFonts w:ascii="Times New Roman" w:hAnsi="Times New Roman"/>
          <w:sz w:val="18"/>
          <w:szCs w:val="18"/>
          <w:lang w:val="ro-RO"/>
        </w:rPr>
        <w:t>.</w:t>
      </w:r>
    </w:p>
  </w:footnote>
  <w:footnote w:id="26">
    <w:p w:rsidR="00F24302" w:rsidRPr="001A408D" w:rsidRDefault="00F24302" w:rsidP="00F24302">
      <w:pPr>
        <w:pStyle w:val="a6"/>
        <w:rPr>
          <w:rFonts w:ascii="Times New Roman" w:hAnsi="Times New Roman"/>
          <w:sz w:val="18"/>
          <w:szCs w:val="18"/>
          <w:lang w:val="ro-RO"/>
        </w:rPr>
      </w:pPr>
      <w:r w:rsidRPr="001A408D">
        <w:rPr>
          <w:rStyle w:val="a7"/>
          <w:rFonts w:ascii="Times New Roman" w:hAnsi="Times New Roman"/>
          <w:sz w:val="18"/>
          <w:szCs w:val="18"/>
          <w:lang w:val="ro-RO"/>
        </w:rPr>
        <w:footnoteRef/>
      </w:r>
      <w:r w:rsidRPr="001A408D">
        <w:rPr>
          <w:rFonts w:ascii="Times New Roman" w:hAnsi="Times New Roman"/>
          <w:sz w:val="18"/>
          <w:szCs w:val="18"/>
          <w:lang w:val="ro-RO"/>
        </w:rPr>
        <w:t xml:space="preserve"> </w:t>
      </w:r>
      <w:r>
        <w:rPr>
          <w:rFonts w:ascii="Times New Roman" w:hAnsi="Times New Roman"/>
          <w:sz w:val="18"/>
          <w:szCs w:val="18"/>
          <w:lang w:val="ro-RO"/>
        </w:rPr>
        <w:t>Anexa nr.7 la R</w:t>
      </w:r>
      <w:r w:rsidRPr="001A408D">
        <w:rPr>
          <w:rFonts w:ascii="Times New Roman" w:hAnsi="Times New Roman"/>
          <w:sz w:val="18"/>
          <w:szCs w:val="18"/>
          <w:lang w:val="ro-RO"/>
        </w:rPr>
        <w:t>aport</w:t>
      </w:r>
      <w:r>
        <w:rPr>
          <w:rFonts w:ascii="Times New Roman" w:hAnsi="Times New Roman"/>
          <w:sz w:val="18"/>
          <w:szCs w:val="18"/>
          <w:lang w:val="ro-RO"/>
        </w:rPr>
        <w:t>ul de audit</w:t>
      </w:r>
      <w:r w:rsidRPr="001A408D">
        <w:rPr>
          <w:rFonts w:ascii="Times New Roman" w:hAnsi="Times New Roman"/>
          <w:sz w:val="18"/>
          <w:szCs w:val="18"/>
          <w:lang w:val="ro-RO"/>
        </w:rPr>
        <w:t>.</w:t>
      </w:r>
    </w:p>
  </w:footnote>
  <w:footnote w:id="27">
    <w:p w:rsidR="00F24302" w:rsidRPr="001A408D" w:rsidRDefault="00F24302" w:rsidP="00F24302">
      <w:pPr>
        <w:pStyle w:val="a6"/>
        <w:jc w:val="both"/>
        <w:rPr>
          <w:rFonts w:ascii="Times New Roman" w:hAnsi="Times New Roman"/>
          <w:sz w:val="18"/>
          <w:szCs w:val="18"/>
          <w:lang w:val="ro-RO"/>
        </w:rPr>
      </w:pPr>
      <w:r w:rsidRPr="001A408D">
        <w:rPr>
          <w:rStyle w:val="a7"/>
          <w:rFonts w:ascii="Times New Roman" w:hAnsi="Times New Roman"/>
          <w:sz w:val="18"/>
          <w:szCs w:val="18"/>
          <w:lang w:val="ro-RO"/>
        </w:rPr>
        <w:footnoteRef/>
      </w:r>
      <w:r w:rsidRPr="001A408D">
        <w:rPr>
          <w:rFonts w:ascii="Times New Roman" w:hAnsi="Times New Roman"/>
          <w:sz w:val="18"/>
          <w:szCs w:val="18"/>
          <w:lang w:val="ro-RO"/>
        </w:rPr>
        <w:t xml:space="preserve"> Primăriile: Bălăș</w:t>
      </w:r>
      <w:r>
        <w:rPr>
          <w:rFonts w:ascii="Times New Roman" w:hAnsi="Times New Roman"/>
          <w:sz w:val="18"/>
          <w:szCs w:val="18"/>
          <w:lang w:val="ro-RO"/>
        </w:rPr>
        <w:t>e</w:t>
      </w:r>
      <w:r w:rsidRPr="001A408D">
        <w:rPr>
          <w:rFonts w:ascii="Times New Roman" w:hAnsi="Times New Roman"/>
          <w:sz w:val="18"/>
          <w:szCs w:val="18"/>
          <w:lang w:val="ro-RO"/>
        </w:rPr>
        <w:t>ști – 2,0 mii lei;  Copăceni – 1,0 mii lei; Cubolta – 3,7 mii lei; T</w:t>
      </w:r>
      <w:r>
        <w:rPr>
          <w:rFonts w:ascii="Times New Roman" w:hAnsi="Times New Roman"/>
          <w:sz w:val="18"/>
          <w:szCs w:val="18"/>
          <w:lang w:val="ro-RO"/>
        </w:rPr>
        <w:t>ă</w:t>
      </w:r>
      <w:r w:rsidRPr="001A408D">
        <w:rPr>
          <w:rFonts w:ascii="Times New Roman" w:hAnsi="Times New Roman"/>
          <w:sz w:val="18"/>
          <w:szCs w:val="18"/>
          <w:lang w:val="ro-RO"/>
        </w:rPr>
        <w:t>ura Veche – 2,5 mii lei; Iezărenii Vechi – 2,2 mii lei.</w:t>
      </w:r>
    </w:p>
  </w:footnote>
  <w:footnote w:id="28">
    <w:p w:rsidR="00F24302" w:rsidRPr="001A408D" w:rsidRDefault="00F24302" w:rsidP="00F24302">
      <w:pPr>
        <w:pStyle w:val="a6"/>
        <w:rPr>
          <w:rFonts w:ascii="Times New Roman" w:hAnsi="Times New Roman"/>
          <w:sz w:val="18"/>
          <w:szCs w:val="18"/>
          <w:lang w:val="ro-RO"/>
        </w:rPr>
      </w:pPr>
      <w:r w:rsidRPr="001A408D">
        <w:rPr>
          <w:rStyle w:val="a7"/>
          <w:rFonts w:ascii="Times New Roman" w:hAnsi="Times New Roman"/>
          <w:sz w:val="18"/>
          <w:szCs w:val="18"/>
          <w:lang w:val="ro-RO"/>
        </w:rPr>
        <w:footnoteRef/>
      </w:r>
      <w:r w:rsidRPr="001A408D">
        <w:rPr>
          <w:rFonts w:ascii="Times New Roman" w:hAnsi="Times New Roman"/>
          <w:sz w:val="18"/>
          <w:szCs w:val="18"/>
          <w:lang w:val="ro-RO"/>
        </w:rPr>
        <w:t xml:space="preserve"> Art.6 alin.(1) lit.f</w:t>
      </w:r>
      <w:r>
        <w:rPr>
          <w:rFonts w:ascii="Times New Roman" w:hAnsi="Times New Roman"/>
          <w:sz w:val="18"/>
          <w:szCs w:val="18"/>
          <w:lang w:val="ro-RO"/>
        </w:rPr>
        <w:t>)</w:t>
      </w:r>
      <w:r w:rsidRPr="001A408D">
        <w:rPr>
          <w:rFonts w:ascii="Times New Roman" w:hAnsi="Times New Roman"/>
          <w:sz w:val="18"/>
          <w:szCs w:val="18"/>
          <w:lang w:val="ro-RO"/>
        </w:rPr>
        <w:t xml:space="preserve"> și lit.l) din Legea nr.231</w:t>
      </w:r>
      <w:r>
        <w:rPr>
          <w:rFonts w:ascii="Times New Roman" w:hAnsi="Times New Roman"/>
          <w:sz w:val="18"/>
          <w:szCs w:val="18"/>
          <w:lang w:val="ro-RO"/>
        </w:rPr>
        <w:t xml:space="preserve"> </w:t>
      </w:r>
      <w:r w:rsidRPr="001A408D">
        <w:rPr>
          <w:rFonts w:ascii="Times New Roman" w:hAnsi="Times New Roman"/>
          <w:sz w:val="18"/>
          <w:szCs w:val="18"/>
          <w:lang w:val="ro-RO"/>
        </w:rPr>
        <w:t>din 23.09.2010</w:t>
      </w:r>
      <w:r>
        <w:rPr>
          <w:rFonts w:ascii="Times New Roman" w:hAnsi="Times New Roman"/>
          <w:sz w:val="18"/>
          <w:szCs w:val="18"/>
          <w:lang w:val="ro-RO"/>
        </w:rPr>
        <w:t xml:space="preserve"> cu privire la comerțul interior.</w:t>
      </w:r>
    </w:p>
  </w:footnote>
  <w:footnote w:id="29">
    <w:p w:rsidR="00F24302" w:rsidRPr="00EC63DC" w:rsidRDefault="00F24302" w:rsidP="00F24302">
      <w:pPr>
        <w:pStyle w:val="a6"/>
        <w:rPr>
          <w:lang w:val="en-US"/>
        </w:rPr>
      </w:pPr>
      <w:r w:rsidRPr="001A408D">
        <w:rPr>
          <w:rStyle w:val="a7"/>
          <w:rFonts w:ascii="Times New Roman" w:hAnsi="Times New Roman"/>
          <w:sz w:val="18"/>
          <w:szCs w:val="18"/>
        </w:rPr>
        <w:footnoteRef/>
      </w:r>
      <w:r w:rsidRPr="001A408D">
        <w:rPr>
          <w:rFonts w:ascii="Times New Roman" w:hAnsi="Times New Roman"/>
          <w:sz w:val="18"/>
          <w:szCs w:val="18"/>
          <w:lang w:val="en-US"/>
        </w:rPr>
        <w:t xml:space="preserve"> </w:t>
      </w:r>
      <w:r>
        <w:rPr>
          <w:rFonts w:ascii="Times New Roman" w:hAnsi="Times New Roman"/>
          <w:sz w:val="18"/>
          <w:szCs w:val="18"/>
          <w:lang w:val="ro-RO"/>
        </w:rPr>
        <w:t>Anexa nr.7 la R</w:t>
      </w:r>
      <w:r w:rsidRPr="001A408D">
        <w:rPr>
          <w:rFonts w:ascii="Times New Roman" w:hAnsi="Times New Roman"/>
          <w:sz w:val="18"/>
          <w:szCs w:val="18"/>
          <w:lang w:val="ro-RO"/>
        </w:rPr>
        <w:t>aport</w:t>
      </w:r>
      <w:r>
        <w:rPr>
          <w:rFonts w:ascii="Times New Roman" w:hAnsi="Times New Roman"/>
          <w:sz w:val="18"/>
          <w:szCs w:val="18"/>
          <w:lang w:val="ro-RO"/>
        </w:rPr>
        <w:t>ul de audit</w:t>
      </w:r>
      <w:r w:rsidRPr="001A408D">
        <w:rPr>
          <w:rFonts w:ascii="Times New Roman" w:hAnsi="Times New Roman"/>
          <w:sz w:val="18"/>
          <w:szCs w:val="18"/>
          <w:lang w:val="ro-RO"/>
        </w:rPr>
        <w:t>.</w:t>
      </w:r>
    </w:p>
  </w:footnote>
  <w:footnote w:id="30">
    <w:p w:rsidR="00F24302" w:rsidRPr="00B7667B" w:rsidRDefault="00F24302" w:rsidP="00F24302">
      <w:pPr>
        <w:pStyle w:val="Style1"/>
        <w:spacing w:line="240" w:lineRule="auto"/>
        <w:rPr>
          <w:szCs w:val="18"/>
          <w:lang w:val="en-US"/>
        </w:rPr>
      </w:pPr>
      <w:r w:rsidRPr="00B7667B">
        <w:rPr>
          <w:rStyle w:val="a7"/>
          <w:szCs w:val="18"/>
          <w:lang w:val="ro-RO"/>
        </w:rPr>
        <w:footnoteRef/>
      </w:r>
      <w:r w:rsidRPr="00B7667B">
        <w:rPr>
          <w:szCs w:val="18"/>
          <w:lang w:val="ro-RO"/>
        </w:rPr>
        <w:t xml:space="preserve"> Art.291 alin.(1) lit.(p) din Codul fiscal.</w:t>
      </w:r>
    </w:p>
  </w:footnote>
  <w:footnote w:id="31">
    <w:p w:rsidR="00F24302" w:rsidRPr="00B7667B" w:rsidRDefault="00F24302" w:rsidP="00F24302">
      <w:pPr>
        <w:pStyle w:val="a6"/>
        <w:jc w:val="both"/>
        <w:rPr>
          <w:rFonts w:ascii="Times New Roman" w:hAnsi="Times New Roman"/>
          <w:sz w:val="18"/>
          <w:szCs w:val="18"/>
          <w:lang w:val="en-US"/>
        </w:rPr>
      </w:pPr>
      <w:r w:rsidRPr="00B7667B">
        <w:rPr>
          <w:rStyle w:val="a7"/>
          <w:rFonts w:ascii="Times New Roman" w:hAnsi="Times New Roman"/>
          <w:sz w:val="18"/>
          <w:szCs w:val="18"/>
        </w:rPr>
        <w:footnoteRef/>
      </w:r>
      <w:r w:rsidRPr="00B7667B">
        <w:rPr>
          <w:rFonts w:ascii="Times New Roman" w:hAnsi="Times New Roman"/>
          <w:sz w:val="18"/>
          <w:szCs w:val="18"/>
          <w:lang w:val="en-US"/>
        </w:rPr>
        <w:t xml:space="preserve"> </w:t>
      </w:r>
      <w:r>
        <w:rPr>
          <w:rFonts w:ascii="Times New Roman" w:eastAsia="Nimbus Sans L" w:hAnsi="Times New Roman"/>
          <w:color w:val="00000A"/>
          <w:kern w:val="3"/>
          <w:sz w:val="18"/>
          <w:szCs w:val="18"/>
          <w:lang w:val="ro-RO" w:eastAsia="zh-CN" w:bidi="hi-IN"/>
        </w:rPr>
        <w:t>A</w:t>
      </w:r>
      <w:r w:rsidRPr="00B7667B">
        <w:rPr>
          <w:rFonts w:ascii="Times New Roman" w:eastAsia="Nimbus Sans L" w:hAnsi="Times New Roman"/>
          <w:color w:val="00000A"/>
          <w:kern w:val="3"/>
          <w:sz w:val="18"/>
          <w:szCs w:val="18"/>
          <w:lang w:val="ro-RO" w:eastAsia="zh-CN" w:bidi="hi-IN"/>
        </w:rPr>
        <w:t>rt.288 pct.8), art.290 lit.q) și art.291 ali</w:t>
      </w:r>
      <w:r>
        <w:rPr>
          <w:rFonts w:ascii="Times New Roman" w:eastAsia="Nimbus Sans L" w:hAnsi="Times New Roman"/>
          <w:color w:val="00000A"/>
          <w:kern w:val="3"/>
          <w:sz w:val="18"/>
          <w:szCs w:val="18"/>
          <w:lang w:val="ro-RO" w:eastAsia="zh-CN" w:bidi="hi-IN"/>
        </w:rPr>
        <w:t>n.(1) lit.q) din Codul fiscal;</w:t>
      </w:r>
      <w:r w:rsidRPr="00B7667B">
        <w:rPr>
          <w:rFonts w:ascii="Times New Roman" w:eastAsia="Nimbus Sans L" w:hAnsi="Times New Roman"/>
          <w:color w:val="00000A"/>
          <w:kern w:val="3"/>
          <w:sz w:val="18"/>
          <w:szCs w:val="18"/>
          <w:lang w:val="ro-RO" w:eastAsia="zh-CN" w:bidi="hi-IN"/>
        </w:rPr>
        <w:t xml:space="preserve"> art.17 din Legea </w:t>
      </w:r>
      <w:r>
        <w:rPr>
          <w:rFonts w:ascii="Times New Roman" w:eastAsia="Nimbus Sans L" w:hAnsi="Times New Roman"/>
          <w:color w:val="00000A"/>
          <w:kern w:val="3"/>
          <w:sz w:val="18"/>
          <w:szCs w:val="18"/>
          <w:lang w:val="ro-RO" w:eastAsia="zh-CN" w:bidi="hi-IN"/>
        </w:rPr>
        <w:t xml:space="preserve">nr.1227-XIII din 27.06.1997 </w:t>
      </w:r>
      <w:r w:rsidRPr="00B7667B">
        <w:rPr>
          <w:rFonts w:ascii="Times New Roman" w:eastAsia="Nimbus Sans L" w:hAnsi="Times New Roman"/>
          <w:color w:val="00000A"/>
          <w:kern w:val="3"/>
          <w:sz w:val="18"/>
          <w:szCs w:val="18"/>
          <w:lang w:val="ro-RO" w:eastAsia="zh-CN" w:bidi="hi-IN"/>
        </w:rPr>
        <w:t>cu privire la publicitate</w:t>
      </w:r>
      <w:r>
        <w:rPr>
          <w:rFonts w:ascii="Times New Roman" w:eastAsia="Nimbus Sans L" w:hAnsi="Times New Roman"/>
          <w:color w:val="00000A"/>
          <w:kern w:val="3"/>
          <w:sz w:val="18"/>
          <w:szCs w:val="18"/>
          <w:lang w:val="ro-RO" w:eastAsia="zh-CN" w:bidi="hi-IN"/>
        </w:rPr>
        <w:t>.</w:t>
      </w:r>
    </w:p>
  </w:footnote>
  <w:footnote w:id="32">
    <w:p w:rsidR="00F24302" w:rsidRPr="00B7667B" w:rsidRDefault="00F24302" w:rsidP="00F24302">
      <w:pPr>
        <w:pStyle w:val="a6"/>
        <w:rPr>
          <w:rFonts w:ascii="Times New Roman" w:hAnsi="Times New Roman"/>
          <w:sz w:val="18"/>
          <w:szCs w:val="18"/>
          <w:lang w:val="en-US"/>
        </w:rPr>
      </w:pPr>
      <w:r w:rsidRPr="00B7667B">
        <w:rPr>
          <w:rStyle w:val="a7"/>
          <w:rFonts w:ascii="Times New Roman" w:hAnsi="Times New Roman"/>
          <w:sz w:val="18"/>
          <w:szCs w:val="18"/>
        </w:rPr>
        <w:footnoteRef/>
      </w:r>
      <w:r w:rsidRPr="00B7667B">
        <w:rPr>
          <w:rFonts w:ascii="Times New Roman" w:hAnsi="Times New Roman"/>
          <w:sz w:val="18"/>
          <w:szCs w:val="18"/>
          <w:lang w:val="en-US"/>
        </w:rPr>
        <w:t xml:space="preserve"> </w:t>
      </w:r>
      <w:r>
        <w:rPr>
          <w:rFonts w:ascii="Times New Roman" w:hAnsi="Times New Roman"/>
          <w:sz w:val="18"/>
          <w:szCs w:val="18"/>
          <w:lang w:val="en-US"/>
        </w:rPr>
        <w:t>A</w:t>
      </w:r>
      <w:r>
        <w:rPr>
          <w:rFonts w:ascii="Times New Roman" w:hAnsi="Times New Roman"/>
          <w:sz w:val="18"/>
          <w:szCs w:val="18"/>
          <w:lang w:val="ro-RO"/>
        </w:rPr>
        <w:t>nexa nr.7 la R</w:t>
      </w:r>
      <w:r w:rsidRPr="00B7667B">
        <w:rPr>
          <w:rFonts w:ascii="Times New Roman" w:hAnsi="Times New Roman"/>
          <w:sz w:val="18"/>
          <w:szCs w:val="18"/>
          <w:lang w:val="ro-RO"/>
        </w:rPr>
        <w:t>aport</w:t>
      </w:r>
      <w:r>
        <w:rPr>
          <w:rFonts w:ascii="Times New Roman" w:hAnsi="Times New Roman"/>
          <w:sz w:val="18"/>
          <w:szCs w:val="18"/>
          <w:lang w:val="ro-RO"/>
        </w:rPr>
        <w:t>ul de audit</w:t>
      </w:r>
      <w:r w:rsidRPr="00B7667B">
        <w:rPr>
          <w:rFonts w:ascii="Times New Roman" w:hAnsi="Times New Roman"/>
          <w:sz w:val="18"/>
          <w:szCs w:val="18"/>
          <w:lang w:val="ro-RO"/>
        </w:rPr>
        <w:t>.</w:t>
      </w:r>
    </w:p>
  </w:footnote>
  <w:footnote w:id="33">
    <w:p w:rsidR="00F24302" w:rsidRPr="00123BE1" w:rsidRDefault="00F24302" w:rsidP="00F24302">
      <w:pPr>
        <w:pStyle w:val="a3"/>
        <w:ind w:firstLine="0"/>
        <w:rPr>
          <w:bCs/>
          <w:sz w:val="18"/>
          <w:szCs w:val="18"/>
          <w:lang w:val="ro-RO"/>
        </w:rPr>
      </w:pPr>
      <w:r w:rsidRPr="00123BE1">
        <w:rPr>
          <w:rStyle w:val="a7"/>
          <w:sz w:val="18"/>
          <w:szCs w:val="18"/>
          <w:lang w:val="ro-RO"/>
        </w:rPr>
        <w:footnoteRef/>
      </w:r>
      <w:r w:rsidRPr="00123BE1">
        <w:rPr>
          <w:bCs/>
          <w:sz w:val="18"/>
          <w:szCs w:val="18"/>
          <w:lang w:val="ro-RO"/>
        </w:rPr>
        <w:t xml:space="preserve"> AP,  DAA, SRFC, DASPF, DE, DF, SC.</w:t>
      </w:r>
    </w:p>
  </w:footnote>
  <w:footnote w:id="34">
    <w:p w:rsidR="00F24302" w:rsidRPr="00123BE1" w:rsidRDefault="00F24302" w:rsidP="00F24302">
      <w:pPr>
        <w:pStyle w:val="a6"/>
        <w:jc w:val="both"/>
        <w:rPr>
          <w:rFonts w:ascii="Times New Roman" w:hAnsi="Times New Roman"/>
          <w:sz w:val="18"/>
          <w:szCs w:val="18"/>
          <w:lang w:val="ro-RO"/>
        </w:rPr>
      </w:pPr>
      <w:r w:rsidRPr="00123BE1">
        <w:rPr>
          <w:rStyle w:val="a7"/>
          <w:rFonts w:ascii="Times New Roman" w:hAnsi="Times New Roman"/>
          <w:sz w:val="18"/>
          <w:szCs w:val="18"/>
          <w:lang w:val="ro-RO"/>
        </w:rPr>
        <w:footnoteRef/>
      </w:r>
      <w:r w:rsidRPr="00123BE1">
        <w:rPr>
          <w:rFonts w:ascii="Times New Roman" w:hAnsi="Times New Roman"/>
          <w:sz w:val="18"/>
          <w:szCs w:val="18"/>
          <w:lang w:val="ro-RO"/>
        </w:rPr>
        <w:t xml:space="preserve"> Reglementările stabilite prin Notele metodologice aprobate de MF.</w:t>
      </w:r>
    </w:p>
  </w:footnote>
  <w:footnote w:id="35">
    <w:p w:rsidR="00F24302" w:rsidRPr="00123BE1" w:rsidRDefault="00F24302" w:rsidP="00F24302">
      <w:pPr>
        <w:spacing w:after="0" w:line="240" w:lineRule="auto"/>
        <w:jc w:val="both"/>
        <w:rPr>
          <w:rFonts w:ascii="Times New Roman" w:eastAsia="Times New Roman" w:hAnsi="Times New Roman"/>
          <w:sz w:val="18"/>
          <w:szCs w:val="18"/>
          <w:lang w:val="ro-RO"/>
        </w:rPr>
      </w:pPr>
      <w:r w:rsidRPr="00123BE1">
        <w:rPr>
          <w:rStyle w:val="a7"/>
          <w:rFonts w:ascii="Times New Roman" w:hAnsi="Times New Roman"/>
          <w:sz w:val="18"/>
          <w:szCs w:val="18"/>
          <w:lang w:val="ro-RO"/>
        </w:rPr>
        <w:footnoteRef/>
      </w:r>
      <w:r w:rsidRPr="00123BE1">
        <w:rPr>
          <w:rFonts w:ascii="Times New Roman" w:hAnsi="Times New Roman"/>
          <w:sz w:val="18"/>
          <w:szCs w:val="18"/>
          <w:lang w:val="ro-RO"/>
        </w:rPr>
        <w:t xml:space="preserve"> </w:t>
      </w:r>
      <w:r w:rsidRPr="00123BE1">
        <w:rPr>
          <w:rFonts w:ascii="Times New Roman" w:eastAsia="Times New Roman" w:hAnsi="Times New Roman"/>
          <w:sz w:val="18"/>
          <w:szCs w:val="18"/>
          <w:lang w:val="ro-RO"/>
        </w:rPr>
        <w:t>Anexa nr.8 la Raportul de audit.</w:t>
      </w:r>
    </w:p>
  </w:footnote>
  <w:footnote w:id="36">
    <w:p w:rsidR="00F24302" w:rsidRPr="00123BE1" w:rsidRDefault="00F24302" w:rsidP="00F24302">
      <w:pPr>
        <w:pStyle w:val="a3"/>
        <w:tabs>
          <w:tab w:val="left" w:pos="0"/>
          <w:tab w:val="left" w:pos="851"/>
        </w:tabs>
        <w:ind w:firstLine="0"/>
        <w:rPr>
          <w:sz w:val="18"/>
          <w:szCs w:val="18"/>
          <w:lang w:val="ro-RO" w:eastAsia="ja-JP"/>
        </w:rPr>
      </w:pPr>
      <w:r w:rsidRPr="00123BE1">
        <w:rPr>
          <w:rStyle w:val="a7"/>
          <w:sz w:val="18"/>
          <w:szCs w:val="18"/>
          <w:lang w:val="ro-RO"/>
        </w:rPr>
        <w:footnoteRef/>
      </w:r>
      <w:r w:rsidRPr="00123BE1">
        <w:rPr>
          <w:sz w:val="18"/>
          <w:szCs w:val="18"/>
          <w:lang w:val="ro-RO"/>
        </w:rPr>
        <w:t xml:space="preserve"> AP, DASPF, DE, SC, primările: or.Biruința; com.Chișcăreni; com.Coșcodeni; </w:t>
      </w:r>
      <w:r w:rsidRPr="00123BE1">
        <w:rPr>
          <w:sz w:val="18"/>
          <w:szCs w:val="18"/>
          <w:lang w:val="ro-RO" w:eastAsia="ja-JP"/>
        </w:rPr>
        <w:t xml:space="preserve">com.Drăgănești; </w:t>
      </w:r>
      <w:r>
        <w:rPr>
          <w:sz w:val="18"/>
          <w:szCs w:val="18"/>
          <w:lang w:val="ro-RO" w:eastAsia="ja-JP"/>
        </w:rPr>
        <w:t>s</w:t>
      </w:r>
      <w:r w:rsidRPr="00123BE1">
        <w:rPr>
          <w:sz w:val="18"/>
          <w:szCs w:val="18"/>
          <w:lang w:val="ro-RO" w:eastAsia="ja-JP"/>
        </w:rPr>
        <w:t>.Rădoaia.</w:t>
      </w:r>
    </w:p>
  </w:footnote>
  <w:footnote w:id="37">
    <w:p w:rsidR="00F24302" w:rsidRPr="00123BE1" w:rsidRDefault="00F24302" w:rsidP="00F24302">
      <w:pPr>
        <w:pStyle w:val="a6"/>
        <w:jc w:val="both"/>
        <w:rPr>
          <w:rFonts w:ascii="Times New Roman" w:hAnsi="Times New Roman"/>
          <w:sz w:val="18"/>
          <w:szCs w:val="18"/>
          <w:lang w:val="ro-RO"/>
        </w:rPr>
      </w:pPr>
      <w:r w:rsidRPr="00123BE1">
        <w:rPr>
          <w:rStyle w:val="a7"/>
          <w:rFonts w:ascii="Times New Roman" w:hAnsi="Times New Roman"/>
          <w:sz w:val="18"/>
          <w:szCs w:val="18"/>
          <w:lang w:val="ro-RO"/>
        </w:rPr>
        <w:footnoteRef/>
      </w:r>
      <w:r w:rsidRPr="00123BE1">
        <w:rPr>
          <w:rFonts w:ascii="Times New Roman" w:hAnsi="Times New Roman"/>
          <w:sz w:val="18"/>
          <w:szCs w:val="18"/>
          <w:lang w:val="ro-RO"/>
        </w:rPr>
        <w:t xml:space="preserve"> Art.24 alin.(3) din</w:t>
      </w:r>
      <w:r w:rsidRPr="00123BE1">
        <w:rPr>
          <w:sz w:val="18"/>
          <w:szCs w:val="18"/>
          <w:lang w:val="en-US"/>
        </w:rPr>
        <w:t xml:space="preserve"> </w:t>
      </w:r>
      <w:r w:rsidRPr="00123BE1">
        <w:rPr>
          <w:rFonts w:ascii="Times New Roman" w:hAnsi="Times New Roman"/>
          <w:sz w:val="18"/>
          <w:szCs w:val="18"/>
          <w:lang w:val="ro-RO"/>
        </w:rPr>
        <w:t xml:space="preserve">Legea nr.768-XIV din 02.02.2000 </w:t>
      </w:r>
      <w:r>
        <w:rPr>
          <w:rFonts w:ascii="Times New Roman" w:hAnsi="Times New Roman"/>
          <w:sz w:val="18"/>
          <w:szCs w:val="18"/>
          <w:lang w:val="ro-RO"/>
        </w:rPr>
        <w:t>p</w:t>
      </w:r>
      <w:r w:rsidRPr="00123BE1">
        <w:rPr>
          <w:rFonts w:ascii="Times New Roman" w:hAnsi="Times New Roman"/>
          <w:sz w:val="18"/>
          <w:szCs w:val="18"/>
          <w:lang w:val="ro-RO"/>
        </w:rPr>
        <w:t>rivind statutul alesului local (în continuare – Legea nr.768-XIV din 02.02.2000); art.30 alin.(2) și art.32 alin.(6) din</w:t>
      </w:r>
      <w:r w:rsidRPr="00123BE1">
        <w:rPr>
          <w:sz w:val="18"/>
          <w:szCs w:val="18"/>
          <w:lang w:val="en-US"/>
        </w:rPr>
        <w:t xml:space="preserve"> </w:t>
      </w:r>
      <w:r w:rsidRPr="00123BE1">
        <w:rPr>
          <w:rFonts w:ascii="Times New Roman" w:hAnsi="Times New Roman"/>
          <w:sz w:val="18"/>
          <w:szCs w:val="18"/>
          <w:lang w:val="ro-RO"/>
        </w:rPr>
        <w:t>Legea nr.355</w:t>
      </w:r>
      <w:r>
        <w:rPr>
          <w:rFonts w:ascii="Times New Roman" w:hAnsi="Times New Roman"/>
          <w:sz w:val="18"/>
          <w:szCs w:val="18"/>
          <w:lang w:val="ro-RO"/>
        </w:rPr>
        <w:t>-XVI</w:t>
      </w:r>
      <w:r w:rsidRPr="00123BE1">
        <w:rPr>
          <w:rFonts w:ascii="Times New Roman" w:hAnsi="Times New Roman"/>
          <w:sz w:val="18"/>
          <w:szCs w:val="18"/>
          <w:lang w:val="ro-RO"/>
        </w:rPr>
        <w:t xml:space="preserve"> din 23.12.2005 </w:t>
      </w:r>
      <w:r>
        <w:rPr>
          <w:rFonts w:ascii="Times New Roman" w:hAnsi="Times New Roman"/>
          <w:sz w:val="18"/>
          <w:szCs w:val="18"/>
          <w:lang w:val="ro-RO"/>
        </w:rPr>
        <w:t>c</w:t>
      </w:r>
      <w:r w:rsidRPr="00123BE1">
        <w:rPr>
          <w:rFonts w:ascii="Times New Roman" w:hAnsi="Times New Roman"/>
          <w:sz w:val="18"/>
          <w:szCs w:val="18"/>
          <w:lang w:val="ro-RO"/>
        </w:rPr>
        <w:t xml:space="preserve">u privire la sistemul de salarizare în sectorul bugetar (în continuare </w:t>
      </w:r>
      <w:r>
        <w:rPr>
          <w:rFonts w:ascii="Times New Roman" w:hAnsi="Times New Roman"/>
          <w:sz w:val="18"/>
          <w:szCs w:val="18"/>
          <w:lang w:val="ro-RO"/>
        </w:rPr>
        <w:t>–</w:t>
      </w:r>
      <w:r w:rsidRPr="00123BE1">
        <w:rPr>
          <w:rFonts w:ascii="Times New Roman" w:hAnsi="Times New Roman"/>
          <w:sz w:val="18"/>
          <w:szCs w:val="18"/>
          <w:lang w:val="ro-RO"/>
        </w:rPr>
        <w:t xml:space="preserve"> Legea nr.355</w:t>
      </w:r>
      <w:r>
        <w:rPr>
          <w:rFonts w:ascii="Times New Roman" w:hAnsi="Times New Roman"/>
          <w:sz w:val="18"/>
          <w:szCs w:val="18"/>
          <w:lang w:val="ro-RO"/>
        </w:rPr>
        <w:t>-XVI</w:t>
      </w:r>
      <w:r w:rsidRPr="00123BE1">
        <w:rPr>
          <w:rFonts w:ascii="Times New Roman" w:hAnsi="Times New Roman"/>
          <w:sz w:val="18"/>
          <w:szCs w:val="18"/>
          <w:lang w:val="ro-RO"/>
        </w:rPr>
        <w:t xml:space="preserve"> din 23.12.2005); art.4 alin.(3) și art.42 alin.(3) și alin.(4) din</w:t>
      </w:r>
      <w:r w:rsidRPr="00123BE1">
        <w:rPr>
          <w:sz w:val="18"/>
          <w:szCs w:val="18"/>
          <w:lang w:val="en-US"/>
        </w:rPr>
        <w:t xml:space="preserve"> </w:t>
      </w:r>
      <w:r w:rsidRPr="00123BE1">
        <w:rPr>
          <w:rFonts w:ascii="Times New Roman" w:hAnsi="Times New Roman"/>
          <w:sz w:val="18"/>
          <w:szCs w:val="18"/>
          <w:lang w:val="ro-RO"/>
        </w:rPr>
        <w:t xml:space="preserve">Legea nr.158-XVI din 04.07.2008 </w:t>
      </w:r>
      <w:r>
        <w:rPr>
          <w:rFonts w:ascii="Times New Roman" w:hAnsi="Times New Roman"/>
          <w:sz w:val="18"/>
          <w:szCs w:val="18"/>
          <w:lang w:val="ro-RO"/>
        </w:rPr>
        <w:t>c</w:t>
      </w:r>
      <w:r w:rsidRPr="00123BE1">
        <w:rPr>
          <w:rFonts w:ascii="Times New Roman" w:hAnsi="Times New Roman"/>
          <w:sz w:val="18"/>
          <w:szCs w:val="18"/>
          <w:lang w:val="ro-RO"/>
        </w:rPr>
        <w:t>u privire la funcția publică și statutul funcționarului public; art.8 alin.(3) din</w:t>
      </w:r>
      <w:r w:rsidRPr="00123BE1">
        <w:rPr>
          <w:sz w:val="18"/>
          <w:szCs w:val="18"/>
          <w:lang w:val="en-US"/>
        </w:rPr>
        <w:t xml:space="preserve"> </w:t>
      </w:r>
      <w:r w:rsidRPr="00123BE1">
        <w:rPr>
          <w:rFonts w:ascii="Times New Roman" w:hAnsi="Times New Roman"/>
          <w:sz w:val="18"/>
          <w:szCs w:val="18"/>
          <w:lang w:val="ro-RO"/>
        </w:rPr>
        <w:t xml:space="preserve">Legea nr.48 din 22.03.2012 </w:t>
      </w:r>
      <w:r>
        <w:rPr>
          <w:rFonts w:ascii="Times New Roman" w:hAnsi="Times New Roman"/>
          <w:sz w:val="18"/>
          <w:szCs w:val="18"/>
          <w:lang w:val="ro-RO"/>
        </w:rPr>
        <w:t>p</w:t>
      </w:r>
      <w:r w:rsidRPr="00123BE1">
        <w:rPr>
          <w:rFonts w:ascii="Times New Roman" w:hAnsi="Times New Roman"/>
          <w:sz w:val="18"/>
          <w:szCs w:val="18"/>
          <w:lang w:val="ro-RO"/>
        </w:rPr>
        <w:t xml:space="preserve">rivind sistemul de salarizare a funcționarilor publici (în continuare </w:t>
      </w:r>
      <w:r>
        <w:rPr>
          <w:rFonts w:ascii="Times New Roman" w:hAnsi="Times New Roman"/>
          <w:sz w:val="18"/>
          <w:szCs w:val="18"/>
          <w:lang w:val="ro-RO"/>
        </w:rPr>
        <w:t>–</w:t>
      </w:r>
      <w:r w:rsidRPr="00123BE1">
        <w:rPr>
          <w:rFonts w:ascii="Times New Roman" w:hAnsi="Times New Roman"/>
          <w:sz w:val="18"/>
          <w:szCs w:val="18"/>
          <w:lang w:val="ro-RO"/>
        </w:rPr>
        <w:t xml:space="preserve"> Legea nr.48 din 22.03.2012); pct.68, pct.102, pct.104, pct.108 din „Regulamentul cu privire la asigurarea regimului secret în cadrul autorităților publice și altor persoane juridice”</w:t>
      </w:r>
      <w:r>
        <w:rPr>
          <w:rFonts w:ascii="Times New Roman" w:hAnsi="Times New Roman"/>
          <w:sz w:val="18"/>
          <w:szCs w:val="18"/>
          <w:lang w:val="ro-RO"/>
        </w:rPr>
        <w:t>,</w:t>
      </w:r>
      <w:r w:rsidRPr="00123BE1">
        <w:rPr>
          <w:rFonts w:ascii="Times New Roman" w:hAnsi="Times New Roman"/>
          <w:sz w:val="18"/>
          <w:szCs w:val="18"/>
          <w:lang w:val="ro-RO"/>
        </w:rPr>
        <w:t xml:space="preserve"> aprobat prin HG nr.1176 din 22.10.2010; pct.5, pct.7, pct.8 alin.1), alin.3) și alin.4) și pct.10 alin.2) din HG nr.331 din 28.05.2012 „Privind salarizarea funcționarilor publici”; </w:t>
      </w:r>
      <w:r>
        <w:rPr>
          <w:rFonts w:ascii="Times New Roman" w:hAnsi="Times New Roman"/>
          <w:sz w:val="18"/>
          <w:szCs w:val="18"/>
          <w:lang w:val="ro-RO"/>
        </w:rPr>
        <w:t>A</w:t>
      </w:r>
      <w:r w:rsidRPr="00123BE1">
        <w:rPr>
          <w:rFonts w:ascii="Times New Roman" w:hAnsi="Times New Roman"/>
          <w:sz w:val="18"/>
          <w:szCs w:val="18"/>
          <w:lang w:val="ro-RO"/>
        </w:rPr>
        <w:t>nexa nr.12 la HG nr.381 din 13.04.2006 „Cu privire la condițiile de salarizare a personalului din unitățile bugetare”; pct.5</w:t>
      </w:r>
      <w:r>
        <w:rPr>
          <w:rFonts w:ascii="Times New Roman" w:hAnsi="Times New Roman"/>
          <w:sz w:val="18"/>
          <w:szCs w:val="18"/>
          <w:lang w:val="ro-RO"/>
        </w:rPr>
        <w:t>-</w:t>
      </w:r>
      <w:r w:rsidRPr="00123BE1">
        <w:rPr>
          <w:rFonts w:ascii="Times New Roman" w:hAnsi="Times New Roman"/>
          <w:sz w:val="18"/>
          <w:szCs w:val="18"/>
          <w:lang w:val="ro-RO"/>
        </w:rPr>
        <w:t xml:space="preserve">7 din HG nr.710 din 26.09.2012 „Privind salarizarea personalului care efectuează deservirea tehnică și asigură funcționarea instanțelor judecătorești, a procuraturii și a autorităților administrației publice centrale și locale”; </w:t>
      </w:r>
      <w:r>
        <w:rPr>
          <w:rFonts w:ascii="Times New Roman" w:hAnsi="Times New Roman"/>
          <w:sz w:val="18"/>
          <w:szCs w:val="18"/>
          <w:lang w:val="ro-RO"/>
        </w:rPr>
        <w:t>A</w:t>
      </w:r>
      <w:r w:rsidRPr="00123BE1">
        <w:rPr>
          <w:rFonts w:ascii="Times New Roman" w:hAnsi="Times New Roman"/>
          <w:sz w:val="18"/>
          <w:szCs w:val="18"/>
          <w:lang w:val="ro-RO"/>
        </w:rPr>
        <w:t xml:space="preserve">nexa nr.4 </w:t>
      </w:r>
      <w:r>
        <w:rPr>
          <w:rFonts w:ascii="Times New Roman" w:hAnsi="Times New Roman"/>
          <w:sz w:val="18"/>
          <w:szCs w:val="18"/>
          <w:lang w:val="ro-RO"/>
        </w:rPr>
        <w:t>la</w:t>
      </w:r>
      <w:r w:rsidRPr="00123BE1">
        <w:rPr>
          <w:rFonts w:ascii="Times New Roman" w:hAnsi="Times New Roman"/>
          <w:sz w:val="18"/>
          <w:szCs w:val="18"/>
          <w:lang w:val="ro-RO"/>
        </w:rPr>
        <w:t xml:space="preserve"> HG nr.201 din 11.03.2009 „Privind punerea în aplicare a prevederilor Legii nr.158-XVI din 4 iulie 2008 cu privire la funcția publică și statutul funcționarului public”.</w:t>
      </w:r>
    </w:p>
  </w:footnote>
  <w:footnote w:id="38">
    <w:p w:rsidR="00F24302" w:rsidRPr="00123BE1" w:rsidRDefault="00F24302" w:rsidP="00F24302">
      <w:pPr>
        <w:spacing w:after="0" w:line="240" w:lineRule="auto"/>
        <w:jc w:val="both"/>
        <w:rPr>
          <w:rFonts w:ascii="Times New Roman" w:eastAsia="Times New Roman" w:hAnsi="Times New Roman"/>
          <w:sz w:val="18"/>
          <w:szCs w:val="18"/>
          <w:lang w:val="ro-RO"/>
        </w:rPr>
      </w:pPr>
      <w:r w:rsidRPr="00123BE1">
        <w:rPr>
          <w:rStyle w:val="a7"/>
          <w:rFonts w:ascii="Times New Roman" w:hAnsi="Times New Roman"/>
          <w:sz w:val="18"/>
          <w:szCs w:val="18"/>
          <w:lang w:val="ro-RO"/>
        </w:rPr>
        <w:footnoteRef/>
      </w:r>
      <w:r w:rsidRPr="00123BE1">
        <w:rPr>
          <w:rFonts w:ascii="Times New Roman" w:hAnsi="Times New Roman"/>
          <w:sz w:val="18"/>
          <w:szCs w:val="18"/>
          <w:lang w:val="ro-RO"/>
        </w:rPr>
        <w:t xml:space="preserve"> </w:t>
      </w:r>
      <w:r w:rsidRPr="00123BE1">
        <w:rPr>
          <w:rFonts w:ascii="Times New Roman" w:eastAsia="Times New Roman" w:hAnsi="Times New Roman"/>
          <w:sz w:val="18"/>
          <w:szCs w:val="18"/>
          <w:lang w:val="ro-RO"/>
        </w:rPr>
        <w:t>Anexa nr.</w:t>
      </w:r>
      <w:r w:rsidRPr="00123BE1">
        <w:rPr>
          <w:rFonts w:ascii="Times New Roman" w:eastAsia="Times New Roman" w:hAnsi="Times New Roman"/>
          <w:sz w:val="18"/>
          <w:szCs w:val="18"/>
          <w:lang w:val="en-US"/>
        </w:rPr>
        <w:t>8</w:t>
      </w:r>
      <w:r w:rsidRPr="00123BE1">
        <w:rPr>
          <w:rFonts w:ascii="Times New Roman" w:eastAsia="Times New Roman" w:hAnsi="Times New Roman"/>
          <w:sz w:val="18"/>
          <w:szCs w:val="18"/>
          <w:lang w:val="ro-RO"/>
        </w:rPr>
        <w:t xml:space="preserve"> la Raportul de audit.</w:t>
      </w:r>
    </w:p>
  </w:footnote>
  <w:footnote w:id="39">
    <w:p w:rsidR="00F24302" w:rsidRPr="00123BE1" w:rsidRDefault="00F24302" w:rsidP="00F24302">
      <w:pPr>
        <w:pStyle w:val="a6"/>
        <w:jc w:val="both"/>
        <w:rPr>
          <w:rFonts w:ascii="Times New Roman" w:hAnsi="Times New Roman"/>
          <w:sz w:val="18"/>
          <w:szCs w:val="18"/>
          <w:lang w:val="ro-RO"/>
        </w:rPr>
      </w:pPr>
      <w:r w:rsidRPr="00123BE1">
        <w:rPr>
          <w:rStyle w:val="a7"/>
          <w:rFonts w:ascii="Times New Roman" w:hAnsi="Times New Roman"/>
          <w:sz w:val="18"/>
          <w:szCs w:val="18"/>
          <w:lang w:val="ro-RO"/>
        </w:rPr>
        <w:footnoteRef/>
      </w:r>
      <w:r w:rsidRPr="00123BE1">
        <w:rPr>
          <w:rFonts w:ascii="Times New Roman" w:hAnsi="Times New Roman"/>
          <w:sz w:val="18"/>
          <w:szCs w:val="18"/>
          <w:lang w:val="ro-RO"/>
        </w:rPr>
        <w:t xml:space="preserve"> Președintele raionului, primarii: or.Sîngerei; com.Coșcodeni; com.Cubolta.</w:t>
      </w:r>
    </w:p>
  </w:footnote>
  <w:footnote w:id="40">
    <w:p w:rsidR="00F24302" w:rsidRPr="003D14BB" w:rsidRDefault="00F24302" w:rsidP="00F24302">
      <w:pPr>
        <w:pStyle w:val="a6"/>
        <w:jc w:val="both"/>
        <w:rPr>
          <w:rFonts w:ascii="Times New Roman" w:hAnsi="Times New Roman"/>
          <w:sz w:val="18"/>
          <w:szCs w:val="18"/>
          <w:lang w:val="en-US"/>
        </w:rPr>
      </w:pPr>
      <w:r w:rsidRPr="00123BE1">
        <w:rPr>
          <w:rStyle w:val="a7"/>
          <w:rFonts w:ascii="Times New Roman" w:hAnsi="Times New Roman"/>
          <w:sz w:val="18"/>
          <w:szCs w:val="18"/>
        </w:rPr>
        <w:footnoteRef/>
      </w:r>
      <w:r w:rsidRPr="00123BE1">
        <w:rPr>
          <w:rFonts w:ascii="Times New Roman" w:hAnsi="Times New Roman"/>
          <w:sz w:val="18"/>
          <w:szCs w:val="18"/>
          <w:lang w:val="en-US"/>
        </w:rPr>
        <w:t xml:space="preserve"> </w:t>
      </w:r>
      <w:r w:rsidRPr="00123BE1">
        <w:rPr>
          <w:rFonts w:ascii="Times New Roman" w:hAnsi="Times New Roman"/>
          <w:sz w:val="18"/>
          <w:szCs w:val="18"/>
          <w:lang w:val="ro-RO"/>
        </w:rPr>
        <w:t>Art.8 alin.(3) din Le</w:t>
      </w:r>
      <w:r>
        <w:rPr>
          <w:rFonts w:ascii="Times New Roman" w:hAnsi="Times New Roman"/>
          <w:sz w:val="18"/>
          <w:szCs w:val="18"/>
          <w:lang w:val="ro-RO"/>
        </w:rPr>
        <w:t>gea nr.355-XVI din 23.12.2005;</w:t>
      </w:r>
      <w:r w:rsidRPr="00123BE1">
        <w:rPr>
          <w:rFonts w:ascii="Times New Roman" w:hAnsi="Times New Roman"/>
          <w:sz w:val="18"/>
          <w:szCs w:val="18"/>
          <w:lang w:val="ro-RO"/>
        </w:rPr>
        <w:t xml:space="preserve"> art.9 alin.(5) din Legea nr.48 din 22.03.2012.</w:t>
      </w:r>
    </w:p>
  </w:footnote>
  <w:footnote w:id="41">
    <w:p w:rsidR="00F24302" w:rsidRPr="00123BE1" w:rsidRDefault="00F24302" w:rsidP="00F24302">
      <w:pPr>
        <w:pStyle w:val="a6"/>
        <w:jc w:val="both"/>
        <w:rPr>
          <w:rFonts w:ascii="Times New Roman" w:hAnsi="Times New Roman"/>
          <w:sz w:val="18"/>
          <w:szCs w:val="18"/>
          <w:lang w:val="ro-RO"/>
        </w:rPr>
      </w:pPr>
      <w:r w:rsidRPr="00123BE1">
        <w:rPr>
          <w:rStyle w:val="a7"/>
          <w:rFonts w:ascii="Times New Roman" w:hAnsi="Times New Roman"/>
          <w:sz w:val="18"/>
          <w:szCs w:val="18"/>
          <w:lang w:val="ro-RO"/>
        </w:rPr>
        <w:footnoteRef/>
      </w:r>
      <w:r w:rsidRPr="00123BE1">
        <w:rPr>
          <w:rFonts w:ascii="Times New Roman" w:hAnsi="Times New Roman"/>
          <w:sz w:val="18"/>
          <w:szCs w:val="18"/>
          <w:lang w:val="ro-RO"/>
        </w:rPr>
        <w:t xml:space="preserve"> Anexa nr.8 la Raportul de audit.</w:t>
      </w:r>
    </w:p>
  </w:footnote>
  <w:footnote w:id="42">
    <w:p w:rsidR="00F24302" w:rsidRPr="00D42BEF" w:rsidRDefault="00F24302" w:rsidP="00F24302">
      <w:pPr>
        <w:pStyle w:val="a6"/>
        <w:jc w:val="both"/>
        <w:rPr>
          <w:rFonts w:ascii="Times New Roman" w:hAnsi="Times New Roman"/>
          <w:sz w:val="18"/>
          <w:szCs w:val="18"/>
          <w:lang w:val="ro-RO"/>
        </w:rPr>
      </w:pPr>
      <w:r w:rsidRPr="00D42BEF">
        <w:rPr>
          <w:rStyle w:val="a7"/>
          <w:rFonts w:ascii="Times New Roman" w:hAnsi="Times New Roman"/>
          <w:sz w:val="18"/>
          <w:szCs w:val="18"/>
          <w:lang w:val="ro-RO"/>
        </w:rPr>
        <w:footnoteRef/>
      </w:r>
      <w:r w:rsidRPr="00D42BEF">
        <w:rPr>
          <w:rFonts w:ascii="Times New Roman" w:hAnsi="Times New Roman"/>
          <w:sz w:val="18"/>
          <w:szCs w:val="18"/>
          <w:lang w:val="ro-RO"/>
        </w:rPr>
        <w:t xml:space="preserve"> Președintele raionului, primarii com.Chișcăreni, com.Coșcodeni, com.Cubolta, com.Drăgănești, </w:t>
      </w:r>
      <w:r>
        <w:rPr>
          <w:rFonts w:ascii="Times New Roman" w:hAnsi="Times New Roman"/>
          <w:sz w:val="18"/>
          <w:szCs w:val="18"/>
          <w:lang w:val="ro-RO"/>
        </w:rPr>
        <w:t>s</w:t>
      </w:r>
      <w:r w:rsidRPr="00D42BEF">
        <w:rPr>
          <w:rFonts w:ascii="Times New Roman" w:hAnsi="Times New Roman"/>
          <w:sz w:val="18"/>
          <w:szCs w:val="18"/>
          <w:lang w:val="ro-RO"/>
        </w:rPr>
        <w:t>.Rădoaia, com.Sîngereii Noi.</w:t>
      </w:r>
    </w:p>
  </w:footnote>
  <w:footnote w:id="43">
    <w:p w:rsidR="00F24302" w:rsidRPr="00D42BEF" w:rsidRDefault="00F24302" w:rsidP="00F24302">
      <w:pPr>
        <w:pStyle w:val="a6"/>
        <w:jc w:val="both"/>
        <w:rPr>
          <w:rFonts w:ascii="Times New Roman" w:hAnsi="Times New Roman"/>
          <w:sz w:val="18"/>
          <w:szCs w:val="18"/>
          <w:lang w:val="ro-RO"/>
        </w:rPr>
      </w:pPr>
      <w:r w:rsidRPr="00D42BEF">
        <w:rPr>
          <w:rStyle w:val="a7"/>
          <w:rFonts w:ascii="Times New Roman" w:hAnsi="Times New Roman"/>
          <w:sz w:val="18"/>
          <w:szCs w:val="18"/>
          <w:lang w:val="ro-RO"/>
        </w:rPr>
        <w:footnoteRef/>
      </w:r>
      <w:r w:rsidRPr="00D42BEF">
        <w:rPr>
          <w:rFonts w:ascii="Times New Roman" w:hAnsi="Times New Roman"/>
          <w:sz w:val="18"/>
          <w:szCs w:val="18"/>
          <w:lang w:val="ro-RO"/>
        </w:rPr>
        <w:t xml:space="preserve"> Legea nr.199 din 16.07.2010 cu privire la statutul persoanelor cu funcții de demnitate publică.</w:t>
      </w:r>
    </w:p>
  </w:footnote>
  <w:footnote w:id="44">
    <w:p w:rsidR="00F24302" w:rsidRPr="00D42BEF" w:rsidRDefault="00F24302" w:rsidP="00F24302">
      <w:pPr>
        <w:pStyle w:val="a6"/>
        <w:jc w:val="both"/>
        <w:rPr>
          <w:rFonts w:ascii="Times New Roman" w:hAnsi="Times New Roman"/>
          <w:sz w:val="18"/>
          <w:szCs w:val="18"/>
          <w:lang w:val="ro-RO"/>
        </w:rPr>
      </w:pPr>
      <w:r w:rsidRPr="00D42BEF">
        <w:rPr>
          <w:rStyle w:val="a7"/>
          <w:rFonts w:ascii="Times New Roman" w:hAnsi="Times New Roman"/>
          <w:sz w:val="18"/>
          <w:szCs w:val="18"/>
          <w:lang w:val="ro-RO"/>
        </w:rPr>
        <w:footnoteRef/>
      </w:r>
      <w:r w:rsidRPr="00D42BEF">
        <w:rPr>
          <w:rFonts w:ascii="Times New Roman" w:hAnsi="Times New Roman"/>
          <w:sz w:val="18"/>
          <w:szCs w:val="18"/>
          <w:lang w:val="ro-RO"/>
        </w:rPr>
        <w:t xml:space="preserve"> Anexa nr.8 la Raportul de audit.</w:t>
      </w:r>
    </w:p>
  </w:footnote>
  <w:footnote w:id="45">
    <w:p w:rsidR="00F24302" w:rsidRPr="00D42BEF" w:rsidRDefault="00F24302" w:rsidP="00F24302">
      <w:pPr>
        <w:pStyle w:val="a6"/>
        <w:jc w:val="both"/>
        <w:rPr>
          <w:rFonts w:ascii="Times New Roman" w:hAnsi="Times New Roman"/>
          <w:sz w:val="18"/>
          <w:szCs w:val="18"/>
          <w:lang w:val="ro-RO"/>
        </w:rPr>
      </w:pPr>
      <w:r w:rsidRPr="00D42BEF">
        <w:rPr>
          <w:rStyle w:val="a7"/>
          <w:rFonts w:ascii="Times New Roman" w:hAnsi="Times New Roman"/>
          <w:sz w:val="18"/>
          <w:szCs w:val="18"/>
          <w:lang w:val="ro-RO"/>
        </w:rPr>
        <w:footnoteRef/>
      </w:r>
      <w:r w:rsidRPr="00D42BEF">
        <w:rPr>
          <w:rFonts w:ascii="Times New Roman" w:hAnsi="Times New Roman"/>
          <w:sz w:val="18"/>
          <w:szCs w:val="18"/>
          <w:lang w:val="ro-RO"/>
        </w:rPr>
        <w:t xml:space="preserve"> Publicat pe site-ul oficial al Biroului Național de Statistică (</w:t>
      </w:r>
      <w:hyperlink r:id="rId1" w:history="1">
        <w:r w:rsidRPr="00D42BEF">
          <w:rPr>
            <w:rStyle w:val="ab"/>
            <w:rFonts w:ascii="Times New Roman" w:hAnsi="Times New Roman"/>
            <w:color w:val="auto"/>
            <w:sz w:val="18"/>
            <w:szCs w:val="18"/>
            <w:lang w:val="ro-RO"/>
          </w:rPr>
          <w:t>http://statbank.statistica.md</w:t>
        </w:r>
      </w:hyperlink>
      <w:r w:rsidRPr="00D42BEF">
        <w:rPr>
          <w:rStyle w:val="ab"/>
          <w:rFonts w:ascii="Times New Roman" w:hAnsi="Times New Roman"/>
          <w:color w:val="auto"/>
          <w:sz w:val="18"/>
          <w:szCs w:val="18"/>
          <w:lang w:val="ro-RO"/>
        </w:rPr>
        <w:t>)</w:t>
      </w:r>
      <w:r w:rsidRPr="00D42BEF">
        <w:rPr>
          <w:rFonts w:ascii="Times New Roman" w:hAnsi="Times New Roman"/>
          <w:sz w:val="18"/>
          <w:szCs w:val="18"/>
          <w:lang w:val="ro-RO"/>
        </w:rPr>
        <w:t xml:space="preserve"> – 4172,0 lei.</w:t>
      </w:r>
    </w:p>
  </w:footnote>
  <w:footnote w:id="46">
    <w:p w:rsidR="00F24302" w:rsidRPr="00D42BEF" w:rsidRDefault="00F24302" w:rsidP="00F24302">
      <w:pPr>
        <w:pStyle w:val="a6"/>
        <w:jc w:val="both"/>
        <w:rPr>
          <w:rFonts w:ascii="Times New Roman" w:hAnsi="Times New Roman"/>
          <w:sz w:val="18"/>
          <w:szCs w:val="18"/>
          <w:lang w:val="ro-RO"/>
        </w:rPr>
      </w:pPr>
      <w:r w:rsidRPr="00D42BEF">
        <w:rPr>
          <w:rStyle w:val="a7"/>
          <w:rFonts w:ascii="Times New Roman" w:hAnsi="Times New Roman"/>
          <w:sz w:val="18"/>
          <w:szCs w:val="18"/>
          <w:lang w:val="ro-RO"/>
        </w:rPr>
        <w:footnoteRef/>
      </w:r>
      <w:r w:rsidRPr="00D42BEF">
        <w:rPr>
          <w:rFonts w:ascii="Times New Roman" w:hAnsi="Times New Roman"/>
          <w:sz w:val="18"/>
          <w:szCs w:val="18"/>
          <w:lang w:val="ro-RO"/>
        </w:rPr>
        <w:t xml:space="preserve"> Legea finanțelor publice și responsabilității bugetar-fiscale nr.181 din 25.07.2014.</w:t>
      </w:r>
    </w:p>
  </w:footnote>
  <w:footnote w:id="47">
    <w:p w:rsidR="00F24302" w:rsidRPr="00D42BEF" w:rsidRDefault="00F24302" w:rsidP="00F24302">
      <w:pPr>
        <w:pStyle w:val="a6"/>
        <w:jc w:val="both"/>
        <w:rPr>
          <w:rFonts w:ascii="Times New Roman" w:hAnsi="Times New Roman"/>
          <w:sz w:val="18"/>
          <w:szCs w:val="18"/>
          <w:lang w:val="ro-RO"/>
        </w:rPr>
      </w:pPr>
      <w:r w:rsidRPr="00D42BEF">
        <w:rPr>
          <w:rStyle w:val="a7"/>
          <w:rFonts w:ascii="Times New Roman" w:hAnsi="Times New Roman"/>
          <w:sz w:val="18"/>
          <w:szCs w:val="18"/>
          <w:lang w:val="ro-RO"/>
        </w:rPr>
        <w:footnoteRef/>
      </w:r>
      <w:r w:rsidRPr="00D42BEF">
        <w:rPr>
          <w:rFonts w:ascii="Times New Roman" w:hAnsi="Times New Roman"/>
          <w:sz w:val="18"/>
          <w:szCs w:val="18"/>
          <w:lang w:val="ro-RO"/>
        </w:rPr>
        <w:t xml:space="preserve"> Legea nr.121-XV din 03.05.2001 cu privire la protecția socială suplimentară a unor categorii de populație (în continuare – Legea nr.121-XV din 03.05.2001); art.7 din Legea nr.397-XV din 16.10.2003; art.14, art.29, art.43 și art.53 din Legea nr.436-XVI din 28.12.2006 privind administrația publică locală (în continuare – Legea nr.436-XVI din 28.12.2006;</w:t>
      </w:r>
      <w:r w:rsidRPr="003D14BB">
        <w:rPr>
          <w:rFonts w:ascii="Times New Roman" w:hAnsi="Times New Roman"/>
          <w:sz w:val="18"/>
          <w:szCs w:val="18"/>
          <w:lang w:val="en-US"/>
        </w:rPr>
        <w:t xml:space="preserve"> Ordinul ministrului Învățămîntului nr.1277 din 30.12.2014 „Cu privire la normele financiare pentru alimentarea copiilor/elevilor din instituțiile de învățămînt”.</w:t>
      </w:r>
    </w:p>
  </w:footnote>
  <w:footnote w:id="48">
    <w:p w:rsidR="00F24302" w:rsidRPr="00D42BEF" w:rsidRDefault="00F24302" w:rsidP="00F24302">
      <w:pPr>
        <w:pStyle w:val="a6"/>
        <w:jc w:val="both"/>
        <w:rPr>
          <w:rFonts w:ascii="Times New Roman" w:hAnsi="Times New Roman"/>
          <w:sz w:val="18"/>
          <w:szCs w:val="18"/>
          <w:lang w:val="ro-RO"/>
        </w:rPr>
      </w:pPr>
      <w:r w:rsidRPr="00D42BEF">
        <w:rPr>
          <w:rStyle w:val="a7"/>
          <w:rFonts w:ascii="Times New Roman" w:hAnsi="Times New Roman"/>
          <w:sz w:val="18"/>
          <w:szCs w:val="18"/>
          <w:lang w:val="ro-RO"/>
        </w:rPr>
        <w:footnoteRef/>
      </w:r>
      <w:r w:rsidRPr="00D42BEF">
        <w:rPr>
          <w:rFonts w:ascii="Times New Roman" w:hAnsi="Times New Roman"/>
          <w:sz w:val="18"/>
          <w:szCs w:val="18"/>
          <w:lang w:val="ro-RO"/>
        </w:rPr>
        <w:t xml:space="preserve"> Consiliul raional (Aparatul președintelui raionului), primăriile: or.Sîngerei; </w:t>
      </w:r>
      <w:r w:rsidRPr="00D42BEF">
        <w:rPr>
          <w:rFonts w:ascii="Times New Roman" w:hAnsi="Times New Roman"/>
          <w:sz w:val="18"/>
          <w:szCs w:val="18"/>
          <w:lang w:val="ro-RO" w:eastAsia="ja-JP"/>
        </w:rPr>
        <w:t xml:space="preserve">or.Biruința; </w:t>
      </w:r>
      <w:r w:rsidRPr="00D42BEF">
        <w:rPr>
          <w:rFonts w:ascii="Times New Roman" w:hAnsi="Times New Roman"/>
          <w:sz w:val="18"/>
          <w:szCs w:val="18"/>
          <w:lang w:val="ro-RO"/>
        </w:rPr>
        <w:t xml:space="preserve">com.Chișcăreni; com.Coșcodeni; com.Cubolta; com.Drăgănești; </w:t>
      </w:r>
      <w:r>
        <w:rPr>
          <w:rFonts w:ascii="Times New Roman" w:hAnsi="Times New Roman"/>
          <w:sz w:val="18"/>
          <w:szCs w:val="18"/>
          <w:lang w:val="ro-RO"/>
        </w:rPr>
        <w:t>s</w:t>
      </w:r>
      <w:r w:rsidRPr="00D42BEF">
        <w:rPr>
          <w:rFonts w:ascii="Times New Roman" w:hAnsi="Times New Roman"/>
          <w:sz w:val="18"/>
          <w:szCs w:val="18"/>
          <w:lang w:val="ro-RO"/>
        </w:rPr>
        <w:t>.Rădoaia; com.Sîngereii Noi (art.113.45 „Mărfuri și servicii neatribuite altor alineate”).</w:t>
      </w:r>
    </w:p>
  </w:footnote>
  <w:footnote w:id="49">
    <w:p w:rsidR="00F24302" w:rsidRPr="00B44CAA" w:rsidRDefault="00F24302" w:rsidP="00F24302">
      <w:pPr>
        <w:tabs>
          <w:tab w:val="left" w:pos="567"/>
        </w:tabs>
        <w:spacing w:after="0" w:line="240" w:lineRule="auto"/>
        <w:jc w:val="both"/>
        <w:rPr>
          <w:rFonts w:ascii="Times New Roman" w:eastAsia="Times New Roman" w:hAnsi="Times New Roman"/>
          <w:b/>
          <w:sz w:val="18"/>
          <w:szCs w:val="18"/>
          <w:lang w:val="ro-RO"/>
        </w:rPr>
      </w:pPr>
      <w:r w:rsidRPr="00B44CAA">
        <w:rPr>
          <w:rStyle w:val="a7"/>
          <w:rFonts w:ascii="Times New Roman" w:hAnsi="Times New Roman"/>
          <w:sz w:val="18"/>
          <w:szCs w:val="18"/>
          <w:lang w:val="ro-RO"/>
        </w:rPr>
        <w:footnoteRef/>
      </w:r>
      <w:r w:rsidRPr="00B44CAA">
        <w:rPr>
          <w:rFonts w:ascii="Times New Roman" w:hAnsi="Times New Roman"/>
          <w:sz w:val="18"/>
          <w:szCs w:val="18"/>
          <w:lang w:val="ro-RO"/>
        </w:rPr>
        <w:t xml:space="preserve"> Anexa nr.9</w:t>
      </w:r>
      <w:r w:rsidRPr="00B44CAA">
        <w:rPr>
          <w:rFonts w:ascii="Times New Roman" w:eastAsia="Times New Roman" w:hAnsi="Times New Roman"/>
          <w:sz w:val="18"/>
          <w:szCs w:val="18"/>
          <w:lang w:val="ro-RO"/>
        </w:rPr>
        <w:t xml:space="preserve"> la Raportul de audit.</w:t>
      </w:r>
    </w:p>
  </w:footnote>
  <w:footnote w:id="50">
    <w:p w:rsidR="00F24302" w:rsidRPr="0019156A" w:rsidRDefault="00F24302" w:rsidP="00F24302">
      <w:pPr>
        <w:pStyle w:val="a6"/>
        <w:jc w:val="both"/>
        <w:rPr>
          <w:rFonts w:ascii="Times New Roman" w:hAnsi="Times New Roman"/>
          <w:sz w:val="18"/>
          <w:szCs w:val="18"/>
          <w:lang w:val="ro-RO"/>
        </w:rPr>
      </w:pPr>
      <w:r w:rsidRPr="0019156A">
        <w:rPr>
          <w:rStyle w:val="a7"/>
          <w:rFonts w:ascii="Times New Roman" w:hAnsi="Times New Roman"/>
          <w:sz w:val="18"/>
          <w:szCs w:val="18"/>
          <w:lang w:val="ro-RO"/>
        </w:rPr>
        <w:footnoteRef/>
      </w:r>
      <w:r w:rsidRPr="0019156A">
        <w:rPr>
          <w:rFonts w:ascii="Times New Roman" w:hAnsi="Times New Roman"/>
          <w:sz w:val="18"/>
          <w:szCs w:val="18"/>
          <w:lang w:val="ro-RO"/>
        </w:rPr>
        <w:t xml:space="preserve"> Legea nr.190-XV din 08.05.2003</w:t>
      </w:r>
      <w:r>
        <w:rPr>
          <w:rFonts w:ascii="Times New Roman" w:hAnsi="Times New Roman"/>
          <w:sz w:val="18"/>
          <w:szCs w:val="18"/>
          <w:lang w:val="ro-RO"/>
        </w:rPr>
        <w:t xml:space="preserve"> </w:t>
      </w:r>
      <w:r w:rsidRPr="0019156A">
        <w:rPr>
          <w:rFonts w:ascii="Times New Roman" w:hAnsi="Times New Roman"/>
          <w:sz w:val="18"/>
          <w:szCs w:val="18"/>
          <w:lang w:val="ro-RO"/>
        </w:rPr>
        <w:t>cu privire la veterani; Legea nr.121-XV din 03.05.2001</w:t>
      </w:r>
      <w:r>
        <w:rPr>
          <w:rFonts w:ascii="Times New Roman" w:hAnsi="Times New Roman"/>
          <w:sz w:val="18"/>
          <w:szCs w:val="18"/>
          <w:lang w:val="ro-RO"/>
        </w:rPr>
        <w:t xml:space="preserve"> </w:t>
      </w:r>
      <w:r w:rsidRPr="0019156A">
        <w:rPr>
          <w:rFonts w:ascii="Times New Roman" w:hAnsi="Times New Roman"/>
          <w:sz w:val="18"/>
          <w:szCs w:val="18"/>
          <w:lang w:val="ro-RO"/>
        </w:rPr>
        <w:t>cu privire la protecția socială suplimentară a unor categorii de populație; Legea nr.909-XII din 30.01.1992</w:t>
      </w:r>
      <w:r>
        <w:rPr>
          <w:rFonts w:ascii="Times New Roman" w:hAnsi="Times New Roman"/>
          <w:sz w:val="18"/>
          <w:szCs w:val="18"/>
          <w:lang w:val="ro-RO"/>
        </w:rPr>
        <w:t xml:space="preserve"> </w:t>
      </w:r>
      <w:r w:rsidRPr="0019156A">
        <w:rPr>
          <w:rFonts w:ascii="Times New Roman" w:hAnsi="Times New Roman"/>
          <w:sz w:val="18"/>
          <w:szCs w:val="18"/>
          <w:lang w:val="ro-RO"/>
        </w:rPr>
        <w:t>privind protecția socială a cetățenilor care au avut de suferit de pe urma catastrofei de la Cernobîl; HG nr.836 din 03.09.2010 „Cu privire la acordarea indemnizațiilor unice pentru construcția sau procurarea spațiului locativ, sau restaurarea caselor”.</w:t>
      </w:r>
    </w:p>
  </w:footnote>
  <w:footnote w:id="51">
    <w:p w:rsidR="00F24302" w:rsidRPr="0019156A" w:rsidRDefault="00F24302" w:rsidP="00F24302">
      <w:pPr>
        <w:pStyle w:val="a6"/>
        <w:jc w:val="both"/>
        <w:rPr>
          <w:rFonts w:ascii="Times New Roman" w:hAnsi="Times New Roman"/>
          <w:sz w:val="18"/>
          <w:szCs w:val="18"/>
          <w:lang w:val="ro-RO"/>
        </w:rPr>
      </w:pPr>
      <w:r w:rsidRPr="0019156A">
        <w:rPr>
          <w:rStyle w:val="a7"/>
          <w:rFonts w:ascii="Times New Roman" w:hAnsi="Times New Roman"/>
          <w:sz w:val="18"/>
          <w:szCs w:val="18"/>
          <w:lang w:val="ro-RO"/>
        </w:rPr>
        <w:footnoteRef/>
      </w:r>
      <w:r>
        <w:rPr>
          <w:rFonts w:ascii="Times New Roman" w:hAnsi="Times New Roman"/>
          <w:sz w:val="18"/>
          <w:szCs w:val="18"/>
          <w:lang w:val="ro-RO"/>
        </w:rPr>
        <w:t xml:space="preserve"> Legea nr.320 din 27.12.2012 c</w:t>
      </w:r>
      <w:r w:rsidRPr="0019156A">
        <w:rPr>
          <w:rFonts w:ascii="Times New Roman" w:hAnsi="Times New Roman"/>
          <w:sz w:val="18"/>
          <w:szCs w:val="18"/>
          <w:lang w:val="ro-RO"/>
        </w:rPr>
        <w:t>u privire la activitatea Poliției și statutul polițistului.</w:t>
      </w:r>
    </w:p>
  </w:footnote>
  <w:footnote w:id="52">
    <w:p w:rsidR="00F24302" w:rsidRPr="0019156A" w:rsidRDefault="00F24302" w:rsidP="00F24302">
      <w:pPr>
        <w:pStyle w:val="a6"/>
        <w:rPr>
          <w:rFonts w:ascii="Times New Roman" w:hAnsi="Times New Roman"/>
          <w:sz w:val="18"/>
          <w:szCs w:val="18"/>
          <w:lang w:val="ro-RO"/>
        </w:rPr>
      </w:pPr>
      <w:r w:rsidRPr="0019156A">
        <w:rPr>
          <w:rStyle w:val="a7"/>
          <w:rFonts w:ascii="Times New Roman" w:hAnsi="Times New Roman"/>
          <w:sz w:val="18"/>
          <w:szCs w:val="18"/>
          <w:lang w:val="ro-RO"/>
        </w:rPr>
        <w:footnoteRef/>
      </w:r>
      <w:r w:rsidRPr="0019156A">
        <w:rPr>
          <w:rFonts w:ascii="Times New Roman" w:hAnsi="Times New Roman"/>
          <w:sz w:val="18"/>
          <w:szCs w:val="18"/>
          <w:lang w:val="ro-RO"/>
        </w:rPr>
        <w:t xml:space="preserve"> Regulamentul privind constituirea Fondului de rezervă al Consiliului raional Sîngerei și utilizarea mijloacelor acestuia.</w:t>
      </w:r>
    </w:p>
  </w:footnote>
  <w:footnote w:id="53">
    <w:p w:rsidR="00F24302" w:rsidRPr="0019156A" w:rsidRDefault="00F24302" w:rsidP="00F24302">
      <w:pPr>
        <w:pStyle w:val="a6"/>
        <w:rPr>
          <w:lang w:val="ro-RO"/>
        </w:rPr>
      </w:pPr>
      <w:r w:rsidRPr="0019156A">
        <w:rPr>
          <w:rStyle w:val="a7"/>
          <w:rFonts w:ascii="Times New Roman" w:hAnsi="Times New Roman"/>
          <w:sz w:val="18"/>
          <w:szCs w:val="18"/>
          <w:lang w:val="ro-RO"/>
        </w:rPr>
        <w:footnoteRef/>
      </w:r>
      <w:r>
        <w:rPr>
          <w:rFonts w:ascii="Times New Roman" w:hAnsi="Times New Roman"/>
          <w:sz w:val="18"/>
          <w:szCs w:val="18"/>
          <w:lang w:val="ro-RO"/>
        </w:rPr>
        <w:t xml:space="preserve"> Art.</w:t>
      </w:r>
      <w:r w:rsidRPr="0019156A">
        <w:rPr>
          <w:rFonts w:ascii="Times New Roman" w:hAnsi="Times New Roman"/>
          <w:sz w:val="18"/>
          <w:szCs w:val="18"/>
          <w:lang w:val="ro-RO"/>
        </w:rPr>
        <w:t xml:space="preserve">14, art.43 și art.53 din </w:t>
      </w:r>
      <w:r>
        <w:rPr>
          <w:rFonts w:ascii="Times New Roman" w:hAnsi="Times New Roman"/>
          <w:sz w:val="18"/>
          <w:szCs w:val="18"/>
          <w:lang w:val="ro-RO"/>
        </w:rPr>
        <w:t>Legea nr.436-XVI din 28.12.2006</w:t>
      </w:r>
      <w:r w:rsidRPr="0019156A">
        <w:rPr>
          <w:rFonts w:ascii="Times New Roman" w:hAnsi="Times New Roman"/>
          <w:sz w:val="18"/>
          <w:szCs w:val="18"/>
          <w:lang w:val="ro-RO"/>
        </w:rPr>
        <w:t>.</w:t>
      </w:r>
    </w:p>
  </w:footnote>
  <w:footnote w:id="54">
    <w:p w:rsidR="00F24302" w:rsidRPr="00C742C0" w:rsidRDefault="00F24302" w:rsidP="00F24302">
      <w:pPr>
        <w:pStyle w:val="a6"/>
        <w:jc w:val="both"/>
        <w:rPr>
          <w:rFonts w:ascii="Times New Roman" w:hAnsi="Times New Roman"/>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w:t>
      </w:r>
      <w:r w:rsidRPr="00C742C0">
        <w:rPr>
          <w:rFonts w:ascii="Times New Roman" w:eastAsia="Times New Roman" w:hAnsi="Times New Roman"/>
          <w:sz w:val="18"/>
          <w:szCs w:val="18"/>
          <w:lang w:val="ro-RO"/>
        </w:rPr>
        <w:t>Art.7 alin.(4)</w:t>
      </w:r>
      <w:r w:rsidRPr="00C742C0">
        <w:rPr>
          <w:rFonts w:ascii="Times New Roman" w:eastAsia="Times New Roman" w:hAnsi="Times New Roman"/>
          <w:sz w:val="28"/>
          <w:szCs w:val="28"/>
          <w:lang w:val="ro-RO"/>
        </w:rPr>
        <w:t xml:space="preserve"> </w:t>
      </w:r>
      <w:r w:rsidRPr="00C742C0">
        <w:rPr>
          <w:rFonts w:ascii="Times New Roman" w:eastAsia="Times New Roman" w:hAnsi="Times New Roman"/>
          <w:sz w:val="18"/>
          <w:szCs w:val="18"/>
          <w:lang w:val="ro-RO"/>
        </w:rPr>
        <w:t xml:space="preserve">din </w:t>
      </w:r>
      <w:r w:rsidRPr="00C742C0">
        <w:rPr>
          <w:rFonts w:ascii="Times New Roman" w:hAnsi="Times New Roman"/>
          <w:sz w:val="18"/>
          <w:szCs w:val="18"/>
          <w:lang w:val="ro-RO"/>
        </w:rPr>
        <w:t xml:space="preserve">Legea nr.397-XV din 16.10.2003.  </w:t>
      </w:r>
    </w:p>
  </w:footnote>
  <w:footnote w:id="55">
    <w:p w:rsidR="00F24302" w:rsidRPr="00C742C0" w:rsidRDefault="00F24302" w:rsidP="00F24302">
      <w:pPr>
        <w:spacing w:after="0" w:line="240" w:lineRule="auto"/>
        <w:jc w:val="both"/>
        <w:rPr>
          <w:rFonts w:ascii="Times New Roman" w:eastAsia="Times New Roman" w:hAnsi="Times New Roman"/>
          <w:sz w:val="28"/>
          <w:szCs w:val="28"/>
          <w:lang w:val="ro-RO" w:eastAsia="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Primăria or. Sîngerei – 4476,4 mii lei (lucrări </w:t>
      </w:r>
      <w:r w:rsidRPr="00C742C0">
        <w:rPr>
          <w:rFonts w:ascii="Times New Roman" w:hAnsi="Times New Roman"/>
          <w:sz w:val="18"/>
          <w:szCs w:val="18"/>
          <w:lang w:val="ro-RO" w:eastAsia="ko-KR"/>
        </w:rPr>
        <w:t>de canalizare a unui sector din oraș</w:t>
      </w:r>
      <w:r w:rsidRPr="00C742C0">
        <w:rPr>
          <w:rFonts w:ascii="Times New Roman" w:hAnsi="Times New Roman"/>
          <w:sz w:val="18"/>
          <w:szCs w:val="18"/>
          <w:lang w:val="ro-RO"/>
        </w:rPr>
        <w:t>); primăria c</w:t>
      </w:r>
      <w:r>
        <w:rPr>
          <w:rFonts w:ascii="Times New Roman" w:hAnsi="Times New Roman"/>
          <w:sz w:val="18"/>
          <w:szCs w:val="18"/>
          <w:lang w:val="ro-RO"/>
        </w:rPr>
        <w:t>om</w:t>
      </w:r>
      <w:r w:rsidRPr="00C742C0">
        <w:rPr>
          <w:rFonts w:ascii="Times New Roman" w:hAnsi="Times New Roman"/>
          <w:sz w:val="18"/>
          <w:szCs w:val="18"/>
          <w:lang w:val="ro-RO"/>
        </w:rPr>
        <w:t xml:space="preserve">.Iezărenii Vechi – 266,9 mii lei </w:t>
      </w:r>
      <w:r w:rsidRPr="00C742C0">
        <w:rPr>
          <w:rFonts w:ascii="Times New Roman" w:eastAsia="Times New Roman" w:hAnsi="Times New Roman"/>
          <w:sz w:val="18"/>
          <w:szCs w:val="18"/>
          <w:lang w:val="ro-RO" w:eastAsia="ru-RU"/>
        </w:rPr>
        <w:t>(</w:t>
      </w:r>
      <w:r w:rsidRPr="00C742C0">
        <w:rPr>
          <w:rFonts w:ascii="Times New Roman" w:hAnsi="Times New Roman"/>
          <w:sz w:val="18"/>
          <w:szCs w:val="18"/>
          <w:lang w:val="ro-RO" w:eastAsia="ro-RO"/>
        </w:rPr>
        <w:t>lucrări de forare a sondei pentru aprovizionare</w:t>
      </w:r>
      <w:r>
        <w:rPr>
          <w:rFonts w:ascii="Times New Roman" w:hAnsi="Times New Roman"/>
          <w:sz w:val="18"/>
          <w:szCs w:val="18"/>
          <w:lang w:val="ro-RO" w:eastAsia="ro-RO"/>
        </w:rPr>
        <w:t>a</w:t>
      </w:r>
      <w:r w:rsidRPr="00C742C0">
        <w:rPr>
          <w:rFonts w:ascii="Times New Roman" w:hAnsi="Times New Roman"/>
          <w:sz w:val="18"/>
          <w:szCs w:val="18"/>
          <w:lang w:val="ro-RO" w:eastAsia="ro-RO"/>
        </w:rPr>
        <w:t xml:space="preserve"> cu apă și construcția turnului de apă</w:t>
      </w:r>
      <w:r w:rsidRPr="00C742C0">
        <w:rPr>
          <w:rFonts w:ascii="Times New Roman" w:eastAsia="Times New Roman" w:hAnsi="Times New Roman"/>
          <w:sz w:val="18"/>
          <w:szCs w:val="18"/>
          <w:lang w:val="ro-RO" w:eastAsia="ru-RU"/>
        </w:rPr>
        <w:t>);</w:t>
      </w:r>
      <w:r w:rsidRPr="00C742C0">
        <w:rPr>
          <w:rFonts w:ascii="Times New Roman" w:hAnsi="Times New Roman"/>
          <w:sz w:val="18"/>
          <w:szCs w:val="18"/>
          <w:lang w:val="ro-RO"/>
        </w:rPr>
        <w:t xml:space="preserve">  </w:t>
      </w:r>
      <w:r w:rsidRPr="00C742C0">
        <w:rPr>
          <w:rFonts w:ascii="Times New Roman" w:eastAsia="Times New Roman" w:hAnsi="Times New Roman"/>
          <w:sz w:val="18"/>
          <w:szCs w:val="18"/>
          <w:lang w:val="ro-RO" w:eastAsia="ru-RU"/>
        </w:rPr>
        <w:t>primăria c</w:t>
      </w:r>
      <w:r>
        <w:rPr>
          <w:rFonts w:ascii="Times New Roman" w:eastAsia="Times New Roman" w:hAnsi="Times New Roman"/>
          <w:sz w:val="18"/>
          <w:szCs w:val="18"/>
          <w:lang w:val="ro-RO" w:eastAsia="ru-RU"/>
        </w:rPr>
        <w:t>om</w:t>
      </w:r>
      <w:r w:rsidRPr="00C742C0">
        <w:rPr>
          <w:rFonts w:ascii="Times New Roman" w:eastAsia="Times New Roman" w:hAnsi="Times New Roman"/>
          <w:sz w:val="18"/>
          <w:szCs w:val="18"/>
          <w:lang w:val="ro-RO" w:eastAsia="ru-RU"/>
        </w:rPr>
        <w:t>.Bălășești</w:t>
      </w:r>
      <w:r w:rsidRPr="00C742C0">
        <w:rPr>
          <w:rFonts w:ascii="Times New Roman" w:hAnsi="Times New Roman"/>
          <w:sz w:val="18"/>
          <w:szCs w:val="18"/>
          <w:lang w:val="ro-RO"/>
        </w:rPr>
        <w:t xml:space="preserve"> – 348,8 mii lei (lucrări</w:t>
      </w:r>
      <w:r w:rsidRPr="00C742C0">
        <w:rPr>
          <w:rFonts w:ascii="Times New Roman" w:hAnsi="Times New Roman"/>
          <w:sz w:val="18"/>
          <w:szCs w:val="18"/>
          <w:lang w:val="ro-RO" w:eastAsia="ro-RO"/>
        </w:rPr>
        <w:t xml:space="preserve"> de reparație a drumului din localitate</w:t>
      </w:r>
      <w:r w:rsidRPr="00C742C0">
        <w:rPr>
          <w:rFonts w:ascii="Times New Roman" w:hAnsi="Times New Roman"/>
          <w:sz w:val="18"/>
          <w:szCs w:val="18"/>
          <w:lang w:val="ro-RO"/>
        </w:rPr>
        <w:t>); primăria c</w:t>
      </w:r>
      <w:r>
        <w:rPr>
          <w:rFonts w:ascii="Times New Roman" w:hAnsi="Times New Roman"/>
          <w:sz w:val="18"/>
          <w:szCs w:val="18"/>
          <w:lang w:val="ro-RO"/>
        </w:rPr>
        <w:t>om</w:t>
      </w:r>
      <w:r w:rsidRPr="00C742C0">
        <w:rPr>
          <w:rFonts w:ascii="Times New Roman" w:hAnsi="Times New Roman"/>
          <w:sz w:val="18"/>
          <w:szCs w:val="18"/>
          <w:lang w:val="ro-RO"/>
        </w:rPr>
        <w:t>.Cubolta – 299,2 mii lei (lucrări de reparație a drumului din localitate); primăria c</w:t>
      </w:r>
      <w:r>
        <w:rPr>
          <w:rFonts w:ascii="Times New Roman" w:hAnsi="Times New Roman"/>
          <w:sz w:val="18"/>
          <w:szCs w:val="18"/>
          <w:lang w:val="ro-RO"/>
        </w:rPr>
        <w:t>om</w:t>
      </w:r>
      <w:r w:rsidRPr="00C742C0">
        <w:rPr>
          <w:rFonts w:ascii="Times New Roman" w:hAnsi="Times New Roman"/>
          <w:sz w:val="18"/>
          <w:szCs w:val="18"/>
          <w:lang w:val="ro-RO"/>
        </w:rPr>
        <w:t>.Alexăndreni – 98,2 mii lei (</w:t>
      </w:r>
      <w:r w:rsidRPr="00C742C0">
        <w:rPr>
          <w:rFonts w:ascii="Times New Roman" w:eastAsia="Times New Roman" w:hAnsi="Times New Roman"/>
          <w:sz w:val="18"/>
          <w:szCs w:val="18"/>
          <w:lang w:val="ro-RO" w:eastAsia="ro-RO"/>
        </w:rPr>
        <w:t>construcția și amenajarea stadionului din s.Heciul Vechi</w:t>
      </w:r>
      <w:r w:rsidRPr="00C742C0">
        <w:rPr>
          <w:rFonts w:ascii="Times New Roman" w:hAnsi="Times New Roman"/>
          <w:sz w:val="18"/>
          <w:szCs w:val="18"/>
          <w:lang w:val="ro-RO"/>
        </w:rPr>
        <w:t>); LT „Olimp” din or.Sîngerei – 405,3 mii lei (lucrări</w:t>
      </w:r>
      <w:r w:rsidRPr="00C742C0">
        <w:rPr>
          <w:rFonts w:ascii="Times New Roman" w:hAnsi="Times New Roman"/>
          <w:sz w:val="18"/>
          <w:szCs w:val="18"/>
          <w:lang w:val="ro-RO" w:eastAsia="ro-RO"/>
        </w:rPr>
        <w:t xml:space="preserve"> de reparație capitală a sălii de sport și a laboratorului de chimie</w:t>
      </w:r>
      <w:r w:rsidRPr="00C742C0">
        <w:rPr>
          <w:rFonts w:ascii="Times New Roman" w:hAnsi="Times New Roman"/>
          <w:sz w:val="18"/>
          <w:szCs w:val="18"/>
          <w:lang w:val="ro-RO"/>
        </w:rPr>
        <w:t>).</w:t>
      </w:r>
    </w:p>
  </w:footnote>
  <w:footnote w:id="56">
    <w:p w:rsidR="00F24302" w:rsidRPr="00C742C0" w:rsidRDefault="00F24302" w:rsidP="00F24302">
      <w:pPr>
        <w:spacing w:after="0" w:line="240" w:lineRule="auto"/>
        <w:jc w:val="both"/>
        <w:rPr>
          <w:rFonts w:ascii="Times New Roman" w:hAnsi="Times New Roman"/>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CR Sîngerei – 361,6 mii lei (</w:t>
      </w:r>
      <w:r w:rsidRPr="00C742C0">
        <w:rPr>
          <w:rFonts w:ascii="Times New Roman" w:eastAsia="Times New Roman" w:hAnsi="Times New Roman"/>
          <w:sz w:val="18"/>
          <w:szCs w:val="18"/>
          <w:lang w:val="ro-RO" w:eastAsia="ru-RU"/>
        </w:rPr>
        <w:t>lucrări de construcție a Parcului</w:t>
      </w:r>
      <w:r w:rsidRPr="00C742C0">
        <w:rPr>
          <w:rFonts w:ascii="Times New Roman" w:eastAsia="MS Mincho" w:hAnsi="Times New Roman"/>
          <w:sz w:val="18"/>
          <w:szCs w:val="18"/>
          <w:lang w:val="ro-RO" w:eastAsia="ja-JP"/>
        </w:rPr>
        <w:t xml:space="preserve"> Logistic Agro</w:t>
      </w:r>
      <w:r>
        <w:rPr>
          <w:rFonts w:ascii="Times New Roman" w:eastAsia="MS Mincho" w:hAnsi="Times New Roman"/>
          <w:sz w:val="18"/>
          <w:szCs w:val="18"/>
          <w:lang w:val="ro-RO" w:eastAsia="ja-JP"/>
        </w:rPr>
        <w:t>i</w:t>
      </w:r>
      <w:r w:rsidRPr="00C742C0">
        <w:rPr>
          <w:rFonts w:ascii="Times New Roman" w:eastAsia="MS Mincho" w:hAnsi="Times New Roman"/>
          <w:sz w:val="18"/>
          <w:szCs w:val="18"/>
          <w:lang w:val="ro-RO" w:eastAsia="ja-JP"/>
        </w:rPr>
        <w:t>ndustrial</w:t>
      </w:r>
      <w:r w:rsidRPr="00C742C0">
        <w:rPr>
          <w:rFonts w:ascii="Times New Roman" w:eastAsia="Times New Roman" w:hAnsi="Times New Roman"/>
          <w:sz w:val="18"/>
          <w:szCs w:val="18"/>
          <w:lang w:val="ro-RO" w:eastAsia="ru-RU"/>
        </w:rPr>
        <w:t>); primăria com.Coșcodeni – 370,6 mii lei (</w:t>
      </w:r>
      <w:r w:rsidRPr="00C742C0">
        <w:rPr>
          <w:rFonts w:ascii="Times New Roman" w:hAnsi="Times New Roman"/>
          <w:sz w:val="18"/>
          <w:szCs w:val="18"/>
          <w:lang w:val="ro-RO" w:eastAsia="ro-RO"/>
        </w:rPr>
        <w:t>lucrări de reconstrucție a sistem</w:t>
      </w:r>
      <w:r>
        <w:rPr>
          <w:rFonts w:ascii="Times New Roman" w:hAnsi="Times New Roman"/>
          <w:sz w:val="18"/>
          <w:szCs w:val="18"/>
          <w:lang w:val="ro-RO" w:eastAsia="ro-RO"/>
        </w:rPr>
        <w:t>ului</w:t>
      </w:r>
      <w:r w:rsidRPr="00C742C0">
        <w:rPr>
          <w:rFonts w:ascii="Times New Roman" w:hAnsi="Times New Roman"/>
          <w:sz w:val="18"/>
          <w:szCs w:val="18"/>
          <w:lang w:val="ro-RO" w:eastAsia="ro-RO"/>
        </w:rPr>
        <w:t xml:space="preserve"> de aprovizionare cu apă potabilă a com.Coșcodeni);</w:t>
      </w:r>
      <w:r w:rsidRPr="00C742C0">
        <w:rPr>
          <w:rFonts w:ascii="Times New Roman" w:eastAsia="Times New Roman" w:hAnsi="Times New Roman"/>
          <w:sz w:val="18"/>
          <w:szCs w:val="18"/>
          <w:lang w:val="ro-RO" w:eastAsia="ru-RU"/>
        </w:rPr>
        <w:t xml:space="preserve"> primăria com.Iezărenii Vechi – 56,3 mii lei (</w:t>
      </w:r>
      <w:r w:rsidRPr="00C742C0">
        <w:rPr>
          <w:rFonts w:ascii="Times New Roman" w:hAnsi="Times New Roman"/>
          <w:sz w:val="18"/>
          <w:szCs w:val="18"/>
          <w:lang w:val="ro-RO" w:eastAsia="ro-RO"/>
        </w:rPr>
        <w:t>lucrări de forare a sondei pentru aprovizionare</w:t>
      </w:r>
      <w:r>
        <w:rPr>
          <w:rFonts w:ascii="Times New Roman" w:hAnsi="Times New Roman"/>
          <w:sz w:val="18"/>
          <w:szCs w:val="18"/>
          <w:lang w:val="ro-RO" w:eastAsia="ro-RO"/>
        </w:rPr>
        <w:t>a</w:t>
      </w:r>
      <w:r w:rsidRPr="00C742C0">
        <w:rPr>
          <w:rFonts w:ascii="Times New Roman" w:hAnsi="Times New Roman"/>
          <w:sz w:val="18"/>
          <w:szCs w:val="18"/>
          <w:lang w:val="ro-RO" w:eastAsia="ro-RO"/>
        </w:rPr>
        <w:t xml:space="preserve"> cu apă și construcția turnului de apă</w:t>
      </w:r>
      <w:r w:rsidRPr="00C742C0">
        <w:rPr>
          <w:rFonts w:ascii="Times New Roman" w:eastAsia="Times New Roman" w:hAnsi="Times New Roman"/>
          <w:sz w:val="18"/>
          <w:szCs w:val="18"/>
          <w:lang w:val="ro-RO" w:eastAsia="ru-RU"/>
        </w:rPr>
        <w:t xml:space="preserve">); primăria </w:t>
      </w:r>
      <w:r w:rsidRPr="00B01B32">
        <w:rPr>
          <w:rFonts w:ascii="Times New Roman" w:eastAsia="Times New Roman" w:hAnsi="Times New Roman"/>
          <w:sz w:val="18"/>
          <w:szCs w:val="18"/>
          <w:lang w:val="ro-RO" w:eastAsia="ru-RU"/>
        </w:rPr>
        <w:t>com</w:t>
      </w:r>
      <w:r w:rsidRPr="00D25F6D">
        <w:rPr>
          <w:rFonts w:ascii="Times New Roman" w:eastAsia="Times New Roman" w:hAnsi="Times New Roman"/>
          <w:sz w:val="18"/>
          <w:szCs w:val="18"/>
          <w:lang w:val="ro-RO" w:eastAsia="ru-RU"/>
        </w:rPr>
        <w:t>.</w:t>
      </w:r>
      <w:r w:rsidRPr="00A1503F">
        <w:rPr>
          <w:rFonts w:ascii="Times New Roman" w:eastAsia="Times New Roman" w:hAnsi="Times New Roman"/>
          <w:sz w:val="18"/>
          <w:szCs w:val="18"/>
          <w:lang w:val="ro-RO" w:eastAsia="ru-RU"/>
        </w:rPr>
        <w:t>Bălășești – 8,3 mii lei (</w:t>
      </w:r>
      <w:r w:rsidRPr="00A1503F">
        <w:rPr>
          <w:rFonts w:ascii="Times New Roman" w:hAnsi="Times New Roman"/>
          <w:sz w:val="18"/>
          <w:szCs w:val="18"/>
          <w:lang w:val="ro-RO" w:eastAsia="ro-RO"/>
        </w:rPr>
        <w:t xml:space="preserve">lucrări de construcție a rețelei de apeduct și canalizare cu stația de epurare în </w:t>
      </w:r>
      <w:r>
        <w:rPr>
          <w:rFonts w:ascii="Times New Roman" w:hAnsi="Times New Roman"/>
          <w:sz w:val="18"/>
          <w:szCs w:val="18"/>
          <w:lang w:val="ro-RO" w:eastAsia="ro-RO"/>
        </w:rPr>
        <w:t>com.</w:t>
      </w:r>
      <w:r w:rsidRPr="00A1503F">
        <w:rPr>
          <w:rFonts w:ascii="Times New Roman" w:hAnsi="Times New Roman"/>
          <w:sz w:val="18"/>
          <w:szCs w:val="18"/>
          <w:lang w:val="ro-RO" w:eastAsia="ro-RO"/>
        </w:rPr>
        <w:t>Bălășești</w:t>
      </w:r>
      <w:r w:rsidRPr="007B7998">
        <w:rPr>
          <w:rFonts w:ascii="Times New Roman" w:hAnsi="Times New Roman"/>
          <w:sz w:val="18"/>
          <w:szCs w:val="18"/>
          <w:lang w:val="ro-RO"/>
        </w:rPr>
        <w:t>)</w:t>
      </w:r>
      <w:r w:rsidRPr="007B7998">
        <w:rPr>
          <w:rFonts w:ascii="Times New Roman" w:eastAsia="Times New Roman" w:hAnsi="Times New Roman"/>
          <w:sz w:val="18"/>
          <w:szCs w:val="18"/>
          <w:lang w:val="ro-RO" w:eastAsia="ru-RU"/>
        </w:rPr>
        <w:t xml:space="preserve">; </w:t>
      </w:r>
      <w:r w:rsidRPr="007F1775">
        <w:rPr>
          <w:rFonts w:ascii="Times New Roman" w:hAnsi="Times New Roman"/>
          <w:sz w:val="18"/>
          <w:szCs w:val="18"/>
          <w:lang w:val="ro-RO"/>
        </w:rPr>
        <w:t>primăria com.Pepeni – 4,8 mii lei (</w:t>
      </w:r>
      <w:r w:rsidRPr="00B01B32">
        <w:rPr>
          <w:rFonts w:ascii="Times New Roman" w:hAnsi="Times New Roman"/>
          <w:sz w:val="18"/>
          <w:szCs w:val="18"/>
          <w:lang w:val="ro-RO" w:eastAsia="ro-RO"/>
        </w:rPr>
        <w:t>lucrări de construcție a rețelei de apeduct din localitate);</w:t>
      </w:r>
      <w:r w:rsidRPr="00B01B32">
        <w:rPr>
          <w:rFonts w:ascii="Times New Roman" w:hAnsi="Times New Roman"/>
          <w:sz w:val="18"/>
          <w:szCs w:val="18"/>
          <w:lang w:val="ro-RO"/>
        </w:rPr>
        <w:t xml:space="preserve"> primăria or.Biruința </w:t>
      </w:r>
      <w:r w:rsidRPr="00B01B32">
        <w:rPr>
          <w:rFonts w:ascii="Times New Roman" w:eastAsia="Times New Roman" w:hAnsi="Times New Roman"/>
          <w:sz w:val="18"/>
          <w:szCs w:val="18"/>
          <w:lang w:val="ro-RO" w:eastAsia="ru-RU"/>
        </w:rPr>
        <w:t xml:space="preserve"> – 4,3 mii lei (</w:t>
      </w:r>
      <w:r w:rsidRPr="00B01B32">
        <w:rPr>
          <w:rFonts w:ascii="Times New Roman" w:hAnsi="Times New Roman"/>
          <w:bCs/>
          <w:iCs/>
          <w:sz w:val="18"/>
          <w:szCs w:val="18"/>
          <w:lang w:val="ro-RO"/>
        </w:rPr>
        <w:t>lucrări de repa</w:t>
      </w:r>
      <w:r w:rsidRPr="00C742C0">
        <w:rPr>
          <w:rFonts w:ascii="Times New Roman" w:hAnsi="Times New Roman"/>
          <w:bCs/>
          <w:iCs/>
          <w:sz w:val="18"/>
          <w:szCs w:val="18"/>
          <w:lang w:val="ro-RO"/>
        </w:rPr>
        <w:t>rație capitală a sediului primăriei or. Biruința</w:t>
      </w:r>
      <w:r w:rsidRPr="00C742C0">
        <w:rPr>
          <w:rFonts w:ascii="Times New Roman" w:eastAsia="Times New Roman" w:hAnsi="Times New Roman"/>
          <w:sz w:val="18"/>
          <w:szCs w:val="18"/>
          <w:lang w:val="ro-RO" w:eastAsia="ru-RU"/>
        </w:rPr>
        <w:t>); primăria or.Sîngerei – 2,1 mii lei (</w:t>
      </w:r>
      <w:r w:rsidRPr="00C742C0">
        <w:rPr>
          <w:rFonts w:ascii="Times New Roman" w:hAnsi="Times New Roman"/>
          <w:sz w:val="18"/>
          <w:szCs w:val="18"/>
          <w:lang w:val="ro-RO"/>
        </w:rPr>
        <w:t>lucrări de pavare a terenului de joacă din localitate</w:t>
      </w:r>
      <w:r w:rsidRPr="00C742C0">
        <w:rPr>
          <w:rFonts w:ascii="Times New Roman" w:eastAsia="Times New Roman" w:hAnsi="Times New Roman"/>
          <w:sz w:val="18"/>
          <w:szCs w:val="18"/>
          <w:lang w:val="ro-RO" w:eastAsia="ru-RU"/>
        </w:rPr>
        <w:t>).</w:t>
      </w:r>
    </w:p>
  </w:footnote>
  <w:footnote w:id="57">
    <w:p w:rsidR="00F24302" w:rsidRPr="00C742C0" w:rsidRDefault="00F24302" w:rsidP="00F24302">
      <w:pPr>
        <w:pStyle w:val="a6"/>
        <w:jc w:val="both"/>
        <w:rPr>
          <w:rFonts w:ascii="Times New Roman" w:hAnsi="Times New Roman"/>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Primăria com.Cubolta – 299,2 mii lei (lucrări de reparație a drumului din localitate); primăria com.Bălășești – 87,9 mii lei (lucrări</w:t>
      </w:r>
      <w:r w:rsidRPr="00C742C0">
        <w:rPr>
          <w:rFonts w:ascii="Times New Roman" w:hAnsi="Times New Roman"/>
          <w:sz w:val="18"/>
          <w:szCs w:val="18"/>
          <w:lang w:val="ro-RO" w:eastAsia="ro-RO"/>
        </w:rPr>
        <w:t xml:space="preserve"> de reparație a drumului din localitate</w:t>
      </w:r>
      <w:r w:rsidRPr="00C742C0">
        <w:rPr>
          <w:rFonts w:ascii="Times New Roman" w:hAnsi="Times New Roman"/>
          <w:sz w:val="18"/>
          <w:szCs w:val="18"/>
          <w:lang w:val="ro-RO"/>
        </w:rPr>
        <w:t>); primăria com.Iezărenii Vechi – 21,7 mii lei (</w:t>
      </w:r>
      <w:r w:rsidRPr="00C742C0">
        <w:rPr>
          <w:rFonts w:ascii="Times New Roman" w:hAnsi="Times New Roman"/>
          <w:sz w:val="18"/>
          <w:szCs w:val="18"/>
          <w:lang w:val="ro-RO" w:eastAsia="ro-RO"/>
        </w:rPr>
        <w:t>lucrări de forare a sondei pentru aprovizionare</w:t>
      </w:r>
      <w:r>
        <w:rPr>
          <w:rFonts w:ascii="Times New Roman" w:hAnsi="Times New Roman"/>
          <w:sz w:val="18"/>
          <w:szCs w:val="18"/>
          <w:lang w:val="ro-RO" w:eastAsia="ro-RO"/>
        </w:rPr>
        <w:t>a</w:t>
      </w:r>
      <w:r w:rsidRPr="00C742C0">
        <w:rPr>
          <w:rFonts w:ascii="Times New Roman" w:hAnsi="Times New Roman"/>
          <w:sz w:val="18"/>
          <w:szCs w:val="18"/>
          <w:lang w:val="ro-RO" w:eastAsia="ro-RO"/>
        </w:rPr>
        <w:t xml:space="preserve"> cu apă și construcția turnului de apă</w:t>
      </w:r>
      <w:r w:rsidRPr="00C742C0">
        <w:rPr>
          <w:rFonts w:ascii="Times New Roman" w:hAnsi="Times New Roman"/>
          <w:sz w:val="18"/>
          <w:szCs w:val="18"/>
          <w:lang w:val="ro-RO"/>
        </w:rPr>
        <w:t>).</w:t>
      </w:r>
    </w:p>
  </w:footnote>
  <w:footnote w:id="58">
    <w:p w:rsidR="00F24302" w:rsidRPr="00C742C0" w:rsidRDefault="00F24302" w:rsidP="00F24302">
      <w:pPr>
        <w:pStyle w:val="a6"/>
        <w:jc w:val="both"/>
        <w:rPr>
          <w:rFonts w:ascii="Times New Roman" w:hAnsi="Times New Roman"/>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Legea privind calitatea în construcții nr.721-XIII din 02.02.1996 (în continuare – Legea nr.721-XIII din 02.02.1996).</w:t>
      </w:r>
    </w:p>
  </w:footnote>
  <w:footnote w:id="59">
    <w:p w:rsidR="00F24302" w:rsidRPr="00C742C0" w:rsidRDefault="00F24302" w:rsidP="00F24302">
      <w:pPr>
        <w:pStyle w:val="a6"/>
        <w:jc w:val="both"/>
        <w:rPr>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L</w:t>
      </w:r>
      <w:r>
        <w:rPr>
          <w:rFonts w:ascii="Times New Roman" w:hAnsi="Times New Roman"/>
          <w:sz w:val="18"/>
          <w:szCs w:val="18"/>
          <w:lang w:val="ro-RO"/>
        </w:rPr>
        <w:t>T</w:t>
      </w:r>
      <w:r w:rsidRPr="00C742C0">
        <w:rPr>
          <w:rFonts w:ascii="Times New Roman" w:hAnsi="Times New Roman"/>
          <w:sz w:val="18"/>
          <w:szCs w:val="18"/>
          <w:lang w:val="ro-RO"/>
        </w:rPr>
        <w:t xml:space="preserve"> „Olimp” din or.Sîngerei și „Ion Creangă” din s.Rădoaia; gimnaziile „Anton Crihan” din or.Sîngerei și</w:t>
      </w:r>
      <w:r>
        <w:rPr>
          <w:rFonts w:ascii="Times New Roman" w:hAnsi="Times New Roman"/>
          <w:sz w:val="18"/>
          <w:szCs w:val="18"/>
          <w:lang w:val="ro-RO"/>
        </w:rPr>
        <w:t xml:space="preserve"> din </w:t>
      </w:r>
      <w:r w:rsidRPr="00C742C0">
        <w:rPr>
          <w:rFonts w:ascii="Times New Roman" w:hAnsi="Times New Roman"/>
          <w:sz w:val="18"/>
          <w:szCs w:val="18"/>
          <w:lang w:val="ro-RO"/>
        </w:rPr>
        <w:t xml:space="preserve"> Iezărenii Vechi.</w:t>
      </w:r>
    </w:p>
  </w:footnote>
  <w:footnote w:id="60">
    <w:p w:rsidR="00F24302" w:rsidRPr="00C742C0" w:rsidRDefault="00F24302" w:rsidP="00F24302">
      <w:pPr>
        <w:pStyle w:val="a6"/>
        <w:rPr>
          <w:rFonts w:ascii="Times New Roman" w:hAnsi="Times New Roman"/>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Legea privind achizițiile publice nr.96-XVI din 13.04.2007, abrogată la 30.04.2016 prin Legea privind achizițiile publice nr.131 din 03.07.2015 (în continuare </w:t>
      </w:r>
      <w:r>
        <w:rPr>
          <w:rFonts w:ascii="Times New Roman" w:hAnsi="Times New Roman"/>
          <w:sz w:val="18"/>
          <w:szCs w:val="18"/>
          <w:lang w:val="ro-RO"/>
        </w:rPr>
        <w:t xml:space="preserve">– </w:t>
      </w:r>
      <w:r w:rsidRPr="00C742C0">
        <w:rPr>
          <w:rFonts w:ascii="Times New Roman" w:hAnsi="Times New Roman"/>
          <w:sz w:val="18"/>
          <w:szCs w:val="18"/>
          <w:lang w:val="ro-RO"/>
        </w:rPr>
        <w:t>Legea nr.96-XVI din 13.04.2007).</w:t>
      </w:r>
    </w:p>
  </w:footnote>
  <w:footnote w:id="61">
    <w:p w:rsidR="00F24302" w:rsidRPr="00C742C0" w:rsidRDefault="00F24302" w:rsidP="00F24302">
      <w:pPr>
        <w:pStyle w:val="a6"/>
        <w:jc w:val="both"/>
        <w:rPr>
          <w:rFonts w:ascii="Times New Roman" w:hAnsi="Times New Roman"/>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Primăria com.Bălășești – 375,0 mii lei (</w:t>
      </w:r>
      <w:r w:rsidRPr="00C742C0">
        <w:rPr>
          <w:rFonts w:ascii="Times New Roman" w:hAnsi="Times New Roman"/>
          <w:sz w:val="18"/>
          <w:szCs w:val="18"/>
          <w:lang w:val="ro-RO" w:eastAsia="ro-RO"/>
        </w:rPr>
        <w:t xml:space="preserve">lucrări de construcție a rețelei de apeduct și canalizare cu stația de epurare </w:t>
      </w:r>
      <w:r w:rsidRPr="00B01B32">
        <w:rPr>
          <w:rFonts w:ascii="Times New Roman" w:hAnsi="Times New Roman"/>
          <w:sz w:val="18"/>
          <w:szCs w:val="18"/>
          <w:lang w:val="ro-RO" w:eastAsia="ro-RO"/>
        </w:rPr>
        <w:t xml:space="preserve">în </w:t>
      </w:r>
      <w:r>
        <w:rPr>
          <w:rFonts w:ascii="Times New Roman" w:hAnsi="Times New Roman"/>
          <w:sz w:val="18"/>
          <w:szCs w:val="18"/>
          <w:lang w:val="ro-RO" w:eastAsia="ro-RO"/>
        </w:rPr>
        <w:t>com</w:t>
      </w:r>
      <w:r w:rsidRPr="00B01B32">
        <w:rPr>
          <w:rFonts w:ascii="Times New Roman" w:hAnsi="Times New Roman"/>
          <w:sz w:val="18"/>
          <w:szCs w:val="18"/>
          <w:lang w:val="ro-RO" w:eastAsia="ro-RO"/>
        </w:rPr>
        <w:t>.</w:t>
      </w:r>
      <w:r w:rsidRPr="00C742C0">
        <w:rPr>
          <w:rFonts w:ascii="Times New Roman" w:hAnsi="Times New Roman"/>
          <w:sz w:val="18"/>
          <w:szCs w:val="18"/>
          <w:lang w:val="ro-RO" w:eastAsia="ro-RO"/>
        </w:rPr>
        <w:t>Bălășești</w:t>
      </w:r>
      <w:r w:rsidRPr="00C742C0">
        <w:rPr>
          <w:rFonts w:ascii="Times New Roman" w:hAnsi="Times New Roman"/>
          <w:sz w:val="18"/>
          <w:szCs w:val="18"/>
          <w:lang w:val="ro-RO"/>
        </w:rPr>
        <w:t>);</w:t>
      </w:r>
    </w:p>
    <w:p w:rsidR="00F24302" w:rsidRPr="00C742C0" w:rsidRDefault="00F24302" w:rsidP="00F24302">
      <w:pPr>
        <w:pStyle w:val="a6"/>
        <w:jc w:val="both"/>
        <w:rPr>
          <w:rFonts w:ascii="Times New Roman" w:hAnsi="Times New Roman"/>
          <w:sz w:val="18"/>
          <w:szCs w:val="18"/>
          <w:lang w:val="ro-RO"/>
        </w:rPr>
      </w:pPr>
      <w:r w:rsidRPr="00C742C0">
        <w:rPr>
          <w:rFonts w:ascii="Times New Roman" w:hAnsi="Times New Roman"/>
          <w:sz w:val="18"/>
          <w:szCs w:val="18"/>
          <w:lang w:val="ro-RO"/>
        </w:rPr>
        <w:t>primăria com.Pepeni – 297,0 mii lei (</w:t>
      </w:r>
      <w:r w:rsidRPr="00C742C0">
        <w:rPr>
          <w:rFonts w:ascii="Times New Roman" w:hAnsi="Times New Roman"/>
          <w:sz w:val="18"/>
          <w:szCs w:val="18"/>
          <w:lang w:val="ro-RO" w:eastAsia="ro-RO"/>
        </w:rPr>
        <w:t xml:space="preserve">lucrări de construcție a rețelei de apeduct din localitate); primăria </w:t>
      </w:r>
      <w:r>
        <w:rPr>
          <w:rFonts w:ascii="Times New Roman" w:hAnsi="Times New Roman"/>
          <w:sz w:val="18"/>
          <w:szCs w:val="18"/>
          <w:lang w:val="ro-RO" w:eastAsia="ro-RO"/>
        </w:rPr>
        <w:t>com.</w:t>
      </w:r>
      <w:r w:rsidRPr="00C742C0">
        <w:rPr>
          <w:rFonts w:ascii="Times New Roman" w:hAnsi="Times New Roman"/>
          <w:sz w:val="18"/>
          <w:szCs w:val="18"/>
          <w:lang w:val="ro-RO" w:eastAsia="ro-RO"/>
        </w:rPr>
        <w:t xml:space="preserve">Heciul Nou – 200,3 mii lei (aprovizionarea cu apă potabilă a </w:t>
      </w:r>
      <w:r>
        <w:rPr>
          <w:rFonts w:ascii="Times New Roman" w:hAnsi="Times New Roman"/>
          <w:sz w:val="18"/>
          <w:szCs w:val="18"/>
          <w:lang w:val="ro-RO" w:eastAsia="ro-RO"/>
        </w:rPr>
        <w:t>com</w:t>
      </w:r>
      <w:r w:rsidRPr="00C742C0">
        <w:rPr>
          <w:rFonts w:ascii="Times New Roman" w:hAnsi="Times New Roman"/>
          <w:sz w:val="18"/>
          <w:szCs w:val="18"/>
          <w:lang w:val="ro-RO" w:eastAsia="ro-RO"/>
        </w:rPr>
        <w:t xml:space="preserve">.Heciul Nou); primăria </w:t>
      </w:r>
      <w:r>
        <w:rPr>
          <w:rFonts w:ascii="Times New Roman" w:hAnsi="Times New Roman"/>
          <w:sz w:val="18"/>
          <w:szCs w:val="18"/>
          <w:lang w:val="ro-RO" w:eastAsia="ro-RO"/>
        </w:rPr>
        <w:t>com.</w:t>
      </w:r>
      <w:r w:rsidRPr="00C742C0">
        <w:rPr>
          <w:rFonts w:ascii="Times New Roman" w:hAnsi="Times New Roman"/>
          <w:sz w:val="18"/>
          <w:szCs w:val="18"/>
          <w:lang w:val="ro-RO" w:eastAsia="ro-RO"/>
        </w:rPr>
        <w:t xml:space="preserve">Alexăndreni – 72,7 mii lei (alimentarea cu apă potabilă a s.Heciul Vechi); primăria </w:t>
      </w:r>
      <w:r>
        <w:rPr>
          <w:rFonts w:ascii="Times New Roman" w:hAnsi="Times New Roman"/>
          <w:sz w:val="18"/>
          <w:szCs w:val="18"/>
          <w:lang w:val="ro-RO" w:eastAsia="ro-RO"/>
        </w:rPr>
        <w:t>com</w:t>
      </w:r>
      <w:r w:rsidRPr="00C742C0">
        <w:rPr>
          <w:rFonts w:ascii="Times New Roman" w:hAnsi="Times New Roman"/>
          <w:sz w:val="18"/>
          <w:szCs w:val="18"/>
          <w:lang w:val="ro-RO" w:eastAsia="ro-RO"/>
        </w:rPr>
        <w:t>.</w:t>
      </w:r>
      <w:r w:rsidRPr="00C742C0">
        <w:rPr>
          <w:rFonts w:ascii="Times New Roman" w:hAnsi="Times New Roman"/>
          <w:sz w:val="18"/>
          <w:szCs w:val="18"/>
          <w:lang w:val="ro-RO"/>
        </w:rPr>
        <w:t>Iezărenii Vechi – 53,0 mii lei (</w:t>
      </w:r>
      <w:r w:rsidRPr="00C742C0">
        <w:rPr>
          <w:rFonts w:ascii="Times New Roman" w:hAnsi="Times New Roman"/>
          <w:sz w:val="18"/>
          <w:szCs w:val="18"/>
          <w:lang w:val="ro-RO" w:eastAsia="ro-RO"/>
        </w:rPr>
        <w:t>lucrări de forare a sondei pentru aprovizionare</w:t>
      </w:r>
      <w:r>
        <w:rPr>
          <w:rFonts w:ascii="Times New Roman" w:hAnsi="Times New Roman"/>
          <w:sz w:val="18"/>
          <w:szCs w:val="18"/>
          <w:lang w:val="ro-RO" w:eastAsia="ro-RO"/>
        </w:rPr>
        <w:t>a</w:t>
      </w:r>
      <w:r w:rsidRPr="00C742C0">
        <w:rPr>
          <w:rFonts w:ascii="Times New Roman" w:hAnsi="Times New Roman"/>
          <w:sz w:val="18"/>
          <w:szCs w:val="18"/>
          <w:lang w:val="ro-RO" w:eastAsia="ro-RO"/>
        </w:rPr>
        <w:t xml:space="preserve"> cu apă și construcția turnului de apă</w:t>
      </w:r>
      <w:r w:rsidRPr="00C742C0">
        <w:rPr>
          <w:rFonts w:ascii="Times New Roman" w:hAnsi="Times New Roman"/>
          <w:sz w:val="18"/>
          <w:szCs w:val="18"/>
          <w:lang w:val="ro-RO"/>
        </w:rPr>
        <w:t>); primăria com.Coșcodeni – 40,2 mii lei (</w:t>
      </w:r>
      <w:r w:rsidRPr="00C742C0">
        <w:rPr>
          <w:rFonts w:ascii="Times New Roman" w:hAnsi="Times New Roman"/>
          <w:sz w:val="18"/>
          <w:szCs w:val="18"/>
          <w:lang w:val="ro-RO" w:eastAsia="ro-RO"/>
        </w:rPr>
        <w:t>lucrări de reconstrucție a sistem</w:t>
      </w:r>
      <w:r>
        <w:rPr>
          <w:rFonts w:ascii="Times New Roman" w:hAnsi="Times New Roman"/>
          <w:sz w:val="18"/>
          <w:szCs w:val="18"/>
          <w:lang w:val="ro-RO" w:eastAsia="ro-RO"/>
        </w:rPr>
        <w:t>ulu</w:t>
      </w:r>
      <w:r w:rsidRPr="00C742C0">
        <w:rPr>
          <w:rFonts w:ascii="Times New Roman" w:hAnsi="Times New Roman"/>
          <w:sz w:val="18"/>
          <w:szCs w:val="18"/>
          <w:lang w:val="ro-RO" w:eastAsia="ro-RO"/>
        </w:rPr>
        <w:t xml:space="preserve">i de aprovizionare cu apă potabilă a com.Coșcodeni); </w:t>
      </w:r>
      <w:r w:rsidRPr="00C742C0">
        <w:rPr>
          <w:rFonts w:ascii="Times New Roman" w:hAnsi="Times New Roman"/>
          <w:sz w:val="18"/>
          <w:szCs w:val="18"/>
          <w:lang w:val="ro-RO"/>
        </w:rPr>
        <w:t>primăria com.Cubolta – 42,5 mii lei (lucrări de reparație a drumului din localitate); L</w:t>
      </w:r>
      <w:r>
        <w:rPr>
          <w:rFonts w:ascii="Times New Roman" w:hAnsi="Times New Roman"/>
          <w:sz w:val="18"/>
          <w:szCs w:val="18"/>
          <w:lang w:val="ro-RO"/>
        </w:rPr>
        <w:t>T</w:t>
      </w:r>
      <w:r w:rsidRPr="00C742C0">
        <w:rPr>
          <w:rFonts w:ascii="Times New Roman" w:hAnsi="Times New Roman"/>
          <w:sz w:val="18"/>
          <w:szCs w:val="18"/>
          <w:lang w:val="ro-RO"/>
        </w:rPr>
        <w:t xml:space="preserve"> „Olimp” din or.Sîngerei – 35,8 mii lei (lucrări</w:t>
      </w:r>
      <w:r w:rsidRPr="00C742C0">
        <w:rPr>
          <w:rFonts w:ascii="Times New Roman" w:hAnsi="Times New Roman"/>
          <w:sz w:val="18"/>
          <w:szCs w:val="18"/>
          <w:lang w:val="ro-RO" w:eastAsia="ro-RO"/>
        </w:rPr>
        <w:t xml:space="preserve"> de reparație capitală a sălii de sport și a laboratorului de chimie</w:t>
      </w:r>
      <w:r w:rsidRPr="00C742C0">
        <w:rPr>
          <w:rFonts w:ascii="Times New Roman" w:hAnsi="Times New Roman"/>
          <w:sz w:val="18"/>
          <w:szCs w:val="18"/>
          <w:lang w:val="ro-RO"/>
        </w:rPr>
        <w:t>).</w:t>
      </w:r>
    </w:p>
  </w:footnote>
  <w:footnote w:id="62">
    <w:p w:rsidR="00F24302" w:rsidRPr="00C742C0" w:rsidRDefault="00F24302" w:rsidP="00F24302">
      <w:pPr>
        <w:pStyle w:val="a6"/>
        <w:rPr>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Primăria com.Alexăndreni – 300,0 mii lei (</w:t>
      </w:r>
      <w:r w:rsidRPr="00C742C0">
        <w:rPr>
          <w:rFonts w:ascii="Times New Roman" w:hAnsi="Times New Roman"/>
          <w:sz w:val="18"/>
          <w:szCs w:val="18"/>
          <w:lang w:val="ro-RO" w:eastAsia="ro-RO"/>
        </w:rPr>
        <w:t>construcția și amenajarea stadionului sportiv din s. Heciul Vechi</w:t>
      </w:r>
      <w:r w:rsidRPr="00C742C0">
        <w:rPr>
          <w:rFonts w:ascii="Times New Roman" w:hAnsi="Times New Roman"/>
          <w:sz w:val="18"/>
          <w:szCs w:val="18"/>
          <w:lang w:val="ro-RO"/>
        </w:rPr>
        <w:t>).</w:t>
      </w:r>
    </w:p>
  </w:footnote>
  <w:footnote w:id="63">
    <w:p w:rsidR="00F24302" w:rsidRPr="00C742C0" w:rsidRDefault="00F24302" w:rsidP="00F24302">
      <w:pPr>
        <w:spacing w:after="0" w:line="240" w:lineRule="auto"/>
        <w:jc w:val="both"/>
        <w:rPr>
          <w:rFonts w:ascii="Times New Roman" w:eastAsia="Times New Roman" w:hAnsi="Times New Roman"/>
          <w:bCs/>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w:t>
      </w:r>
      <w:r w:rsidRPr="00C742C0">
        <w:rPr>
          <w:rFonts w:ascii="Times New Roman" w:eastAsia="Times New Roman" w:hAnsi="Times New Roman"/>
          <w:bCs/>
          <w:sz w:val="18"/>
          <w:szCs w:val="18"/>
          <w:lang w:val="ro-RO"/>
        </w:rPr>
        <w:t>Informație cu privire la determinarea valorii obiectivelor de construcții începînd cu 1 august 2014 nr.05-14/1489  din  15.07.2014, aprobată de Ministerul Dezvoltării Regionale și Construcției.</w:t>
      </w:r>
    </w:p>
  </w:footnote>
  <w:footnote w:id="64">
    <w:p w:rsidR="00F24302" w:rsidRPr="00C742C0" w:rsidRDefault="00F24302" w:rsidP="00F24302">
      <w:pPr>
        <w:pStyle w:val="a6"/>
        <w:jc w:val="both"/>
        <w:rPr>
          <w:rFonts w:ascii="Times New Roman" w:hAnsi="Times New Roman"/>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Art.7 alin.(4) din Legea nr.397-XV din 16.10.2003.</w:t>
      </w:r>
    </w:p>
  </w:footnote>
  <w:footnote w:id="65">
    <w:p w:rsidR="00F24302" w:rsidRPr="00C742C0" w:rsidRDefault="00F24302" w:rsidP="00F24302">
      <w:pPr>
        <w:pStyle w:val="a6"/>
        <w:jc w:val="both"/>
        <w:rPr>
          <w:rFonts w:ascii="Times New Roman" w:hAnsi="Times New Roman"/>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Regulamentul achizițiilor publice de valoare mică, aprobat prin HG nr.148 din 14.02.2008.</w:t>
      </w:r>
    </w:p>
  </w:footnote>
  <w:footnote w:id="66">
    <w:p w:rsidR="00F24302" w:rsidRPr="00C742C0" w:rsidRDefault="00F24302" w:rsidP="00F24302">
      <w:pPr>
        <w:pStyle w:val="a6"/>
        <w:jc w:val="both"/>
        <w:rPr>
          <w:rFonts w:ascii="Times New Roman" w:hAnsi="Times New Roman"/>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Primăria or.Sîngerei, </w:t>
      </w:r>
      <w:r>
        <w:rPr>
          <w:rFonts w:ascii="Times New Roman" w:hAnsi="Times New Roman"/>
          <w:sz w:val="18"/>
          <w:szCs w:val="18"/>
          <w:lang w:val="ro-RO"/>
        </w:rPr>
        <w:t>DASPF</w:t>
      </w:r>
      <w:r w:rsidRPr="00C742C0">
        <w:rPr>
          <w:rFonts w:ascii="Times New Roman" w:hAnsi="Times New Roman"/>
          <w:sz w:val="18"/>
          <w:szCs w:val="18"/>
          <w:lang w:val="ro-RO"/>
        </w:rPr>
        <w:t xml:space="preserve"> Sîngerei, DE Sîngerei.</w:t>
      </w:r>
    </w:p>
  </w:footnote>
  <w:footnote w:id="67">
    <w:p w:rsidR="00F24302" w:rsidRPr="00C742C0" w:rsidRDefault="00F24302" w:rsidP="00F24302">
      <w:pPr>
        <w:pStyle w:val="a6"/>
        <w:jc w:val="both"/>
        <w:rPr>
          <w:rFonts w:ascii="Times New Roman" w:hAnsi="Times New Roman"/>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HG nr.245 din 04.03.2008 „</w:t>
      </w:r>
      <w:r>
        <w:rPr>
          <w:rFonts w:ascii="Times New Roman" w:hAnsi="Times New Roman"/>
          <w:sz w:val="18"/>
          <w:szCs w:val="18"/>
          <w:lang w:val="ro-RO"/>
        </w:rPr>
        <w:t>P</w:t>
      </w:r>
      <w:r w:rsidRPr="00C742C0">
        <w:rPr>
          <w:rFonts w:ascii="Times New Roman" w:hAnsi="Times New Roman"/>
          <w:sz w:val="18"/>
          <w:szCs w:val="18"/>
          <w:lang w:val="ro-RO"/>
        </w:rPr>
        <w:t>entru aprobarea Regulamentului cu privire la achiziția bunurilor și serviciilor prin cererea ofertelor de prețuri”.</w:t>
      </w:r>
    </w:p>
  </w:footnote>
  <w:footnote w:id="68">
    <w:p w:rsidR="00F24302" w:rsidRPr="00C742C0" w:rsidRDefault="00F24302" w:rsidP="00F24302">
      <w:pPr>
        <w:pStyle w:val="a6"/>
        <w:jc w:val="both"/>
        <w:rPr>
          <w:rFonts w:ascii="Times New Roman" w:hAnsi="Times New Roman"/>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HG</w:t>
      </w:r>
      <w:r>
        <w:rPr>
          <w:rFonts w:ascii="Times New Roman" w:hAnsi="Times New Roman"/>
          <w:sz w:val="18"/>
          <w:szCs w:val="18"/>
          <w:lang w:val="ro-RO"/>
        </w:rPr>
        <w:t xml:space="preserve"> </w:t>
      </w:r>
      <w:r w:rsidRPr="00C742C0">
        <w:rPr>
          <w:rFonts w:ascii="Times New Roman" w:hAnsi="Times New Roman"/>
          <w:sz w:val="18"/>
          <w:szCs w:val="18"/>
          <w:lang w:val="ro-RO"/>
        </w:rPr>
        <w:t>nr.148 din 14.02.2008 „</w:t>
      </w:r>
      <w:r>
        <w:rPr>
          <w:rFonts w:ascii="Times New Roman" w:hAnsi="Times New Roman"/>
          <w:sz w:val="18"/>
          <w:szCs w:val="18"/>
          <w:lang w:val="ro-RO"/>
        </w:rPr>
        <w:t>P</w:t>
      </w:r>
      <w:r w:rsidRPr="00C742C0">
        <w:rPr>
          <w:rFonts w:ascii="Times New Roman" w:hAnsi="Times New Roman"/>
          <w:sz w:val="18"/>
          <w:szCs w:val="18"/>
          <w:lang w:val="ro-RO"/>
        </w:rPr>
        <w:t>entru aprobarea Regulamentului achizițiilor publice de valoare mică”</w:t>
      </w:r>
      <w:r>
        <w:rPr>
          <w:rFonts w:ascii="Times New Roman" w:hAnsi="Times New Roman"/>
          <w:sz w:val="18"/>
          <w:szCs w:val="18"/>
          <w:lang w:val="ro-RO"/>
        </w:rPr>
        <w:t>.</w:t>
      </w:r>
    </w:p>
  </w:footnote>
  <w:footnote w:id="69">
    <w:p w:rsidR="00F24302" w:rsidRPr="00C742C0" w:rsidRDefault="00F24302" w:rsidP="00F24302">
      <w:pPr>
        <w:pStyle w:val="a6"/>
        <w:jc w:val="both"/>
        <w:rPr>
          <w:rFonts w:ascii="Times New Roman" w:hAnsi="Times New Roman"/>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DE Sîngerei, </w:t>
      </w:r>
      <w:r>
        <w:rPr>
          <w:rFonts w:ascii="Times New Roman" w:hAnsi="Times New Roman"/>
          <w:sz w:val="18"/>
          <w:szCs w:val="18"/>
          <w:lang w:val="ro-RO"/>
        </w:rPr>
        <w:t>DASPF</w:t>
      </w:r>
      <w:r w:rsidRPr="00C742C0">
        <w:rPr>
          <w:rFonts w:ascii="Times New Roman" w:hAnsi="Times New Roman"/>
          <w:sz w:val="18"/>
          <w:szCs w:val="18"/>
          <w:lang w:val="ro-RO"/>
        </w:rPr>
        <w:t xml:space="preserve"> Sîngerei, primăria or.Sîngerei.</w:t>
      </w:r>
    </w:p>
  </w:footnote>
  <w:footnote w:id="70">
    <w:p w:rsidR="00F24302" w:rsidRPr="00C742C0" w:rsidRDefault="00F24302" w:rsidP="00F24302">
      <w:pPr>
        <w:pStyle w:val="a6"/>
        <w:rPr>
          <w:rFonts w:ascii="Times New Roman" w:hAnsi="Times New Roman"/>
          <w:sz w:val="18"/>
          <w:szCs w:val="18"/>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D</w:t>
      </w:r>
      <w:r>
        <w:rPr>
          <w:rFonts w:ascii="Times New Roman" w:hAnsi="Times New Roman"/>
          <w:sz w:val="18"/>
          <w:szCs w:val="18"/>
          <w:lang w:val="ro-RO"/>
        </w:rPr>
        <w:t>E</w:t>
      </w:r>
      <w:r w:rsidRPr="00C742C0">
        <w:rPr>
          <w:rFonts w:ascii="Times New Roman" w:hAnsi="Times New Roman"/>
          <w:sz w:val="18"/>
          <w:szCs w:val="18"/>
          <w:lang w:val="ro-RO"/>
        </w:rPr>
        <w:t xml:space="preserve"> Sîngerei, </w:t>
      </w:r>
      <w:r>
        <w:rPr>
          <w:rFonts w:ascii="Times New Roman" w:hAnsi="Times New Roman"/>
          <w:sz w:val="18"/>
          <w:szCs w:val="18"/>
          <w:lang w:val="ro-RO"/>
        </w:rPr>
        <w:t>DASPF</w:t>
      </w:r>
      <w:r w:rsidRPr="00C742C0">
        <w:rPr>
          <w:rFonts w:ascii="Times New Roman" w:hAnsi="Times New Roman"/>
          <w:sz w:val="18"/>
          <w:szCs w:val="18"/>
          <w:lang w:val="ro-RO"/>
        </w:rPr>
        <w:t xml:space="preserve"> Sîngerei.</w:t>
      </w:r>
    </w:p>
  </w:footnote>
  <w:footnote w:id="71">
    <w:p w:rsidR="00F24302" w:rsidRPr="00C742C0" w:rsidRDefault="00F24302" w:rsidP="00F24302">
      <w:pPr>
        <w:pStyle w:val="a6"/>
        <w:rPr>
          <w:lang w:val="ro-RO"/>
        </w:rPr>
      </w:pPr>
      <w:r w:rsidRPr="00C742C0">
        <w:rPr>
          <w:rStyle w:val="a7"/>
          <w:rFonts w:ascii="Times New Roman" w:hAnsi="Times New Roman"/>
          <w:sz w:val="18"/>
          <w:szCs w:val="18"/>
          <w:lang w:val="ro-RO"/>
        </w:rPr>
        <w:footnoteRef/>
      </w:r>
      <w:r w:rsidRPr="00C742C0">
        <w:rPr>
          <w:rFonts w:ascii="Times New Roman" w:hAnsi="Times New Roman"/>
          <w:sz w:val="18"/>
          <w:szCs w:val="18"/>
          <w:lang w:val="ro-RO"/>
        </w:rPr>
        <w:t xml:space="preserve"> Regulamentul cu privire la întocmirea și păstrarea dosarului de achiziție publică, aprobat prin HG nr.9 din 17.01.2008.</w:t>
      </w:r>
    </w:p>
  </w:footnote>
  <w:footnote w:id="72">
    <w:p w:rsidR="00F24302" w:rsidRDefault="00F24302" w:rsidP="00F24302">
      <w:pPr>
        <w:pStyle w:val="a6"/>
        <w:jc w:val="both"/>
        <w:rPr>
          <w:rFonts w:ascii="Times New Roman" w:hAnsi="Times New Roman"/>
          <w:sz w:val="18"/>
          <w:szCs w:val="18"/>
          <w:lang w:val="ro-RO"/>
        </w:rPr>
      </w:pPr>
      <w:r>
        <w:rPr>
          <w:rStyle w:val="a7"/>
          <w:rFonts w:ascii="Times New Roman" w:hAnsi="Times New Roman"/>
          <w:sz w:val="18"/>
          <w:szCs w:val="18"/>
        </w:rPr>
        <w:footnoteRef/>
      </w:r>
      <w:r>
        <w:rPr>
          <w:rFonts w:ascii="Times New Roman" w:hAnsi="Times New Roman"/>
          <w:sz w:val="18"/>
          <w:szCs w:val="18"/>
          <w:lang w:val="ro-RO"/>
        </w:rPr>
        <w:t xml:space="preserve"> Legea nr.764-XV din 27.12.2001 privind organizarea administrativ-teritorială a Republicii Moldova.</w:t>
      </w:r>
    </w:p>
  </w:footnote>
  <w:footnote w:id="73">
    <w:p w:rsidR="00F24302" w:rsidRDefault="00F24302" w:rsidP="00F24302">
      <w:pPr>
        <w:pStyle w:val="a6"/>
        <w:jc w:val="both"/>
        <w:rPr>
          <w:rFonts w:ascii="Times New Roman" w:hAnsi="Times New Roman"/>
          <w:sz w:val="18"/>
          <w:szCs w:val="18"/>
          <w:lang w:val="ro-RO"/>
        </w:rPr>
      </w:pPr>
      <w:r>
        <w:rPr>
          <w:rStyle w:val="a7"/>
          <w:rFonts w:ascii="Times New Roman" w:hAnsi="Times New Roman"/>
          <w:sz w:val="18"/>
          <w:szCs w:val="18"/>
        </w:rPr>
        <w:footnoteRef/>
      </w:r>
      <w:r>
        <w:rPr>
          <w:rFonts w:ascii="Times New Roman" w:hAnsi="Times New Roman"/>
          <w:sz w:val="18"/>
          <w:szCs w:val="18"/>
          <w:lang w:val="ro-RO"/>
        </w:rPr>
        <w:t xml:space="preserve"> Legea nr.435-XVI din 28.12.2006 privind descentralizarea administrativă.</w:t>
      </w:r>
    </w:p>
    <w:p w:rsidR="00F24302" w:rsidRDefault="00F24302" w:rsidP="00F24302">
      <w:pPr>
        <w:pStyle w:val="a6"/>
        <w:jc w:val="both"/>
        <w:rPr>
          <w:rFonts w:ascii="Times New Roman" w:hAnsi="Times New Roman"/>
          <w:sz w:val="18"/>
          <w:szCs w:val="18"/>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883"/>
    <w:multiLevelType w:val="hybridMultilevel"/>
    <w:tmpl w:val="FD9C0086"/>
    <w:lvl w:ilvl="0" w:tplc="706ECAA6">
      <w:start w:val="1"/>
      <w:numFmt w:val="bullet"/>
      <w:lvlText w:val=""/>
      <w:lvlJc w:val="left"/>
      <w:pPr>
        <w:ind w:left="1239" w:hanging="360"/>
      </w:pPr>
      <w:rPr>
        <w:rFonts w:ascii="Symbol" w:hAnsi="Symbol" w:hint="default"/>
        <w:sz w:val="24"/>
        <w:szCs w:val="24"/>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1">
    <w:nsid w:val="00DB0335"/>
    <w:multiLevelType w:val="hybridMultilevel"/>
    <w:tmpl w:val="FB822FF2"/>
    <w:lvl w:ilvl="0" w:tplc="C9A69BF8">
      <w:start w:val="1"/>
      <w:numFmt w:val="bullet"/>
      <w:lvlText w:val=""/>
      <w:lvlJc w:val="left"/>
      <w:pPr>
        <w:ind w:left="786" w:hanging="360"/>
      </w:pPr>
      <w:rPr>
        <w:rFonts w:ascii="Symbol" w:hAnsi="Symbol" w:hint="default"/>
        <w:sz w:val="24"/>
        <w:szCs w:val="24"/>
      </w:rPr>
    </w:lvl>
    <w:lvl w:ilvl="1" w:tplc="08180003" w:tentative="1">
      <w:start w:val="1"/>
      <w:numFmt w:val="bullet"/>
      <w:lvlText w:val="o"/>
      <w:lvlJc w:val="left"/>
      <w:pPr>
        <w:ind w:left="1506" w:hanging="360"/>
      </w:pPr>
      <w:rPr>
        <w:rFonts w:ascii="Courier New" w:hAnsi="Courier New" w:cs="Courier New" w:hint="default"/>
      </w:rPr>
    </w:lvl>
    <w:lvl w:ilvl="2" w:tplc="08180005" w:tentative="1">
      <w:start w:val="1"/>
      <w:numFmt w:val="bullet"/>
      <w:lvlText w:val=""/>
      <w:lvlJc w:val="left"/>
      <w:pPr>
        <w:ind w:left="2226" w:hanging="360"/>
      </w:pPr>
      <w:rPr>
        <w:rFonts w:ascii="Wingdings" w:hAnsi="Wingdings" w:hint="default"/>
      </w:rPr>
    </w:lvl>
    <w:lvl w:ilvl="3" w:tplc="08180001" w:tentative="1">
      <w:start w:val="1"/>
      <w:numFmt w:val="bullet"/>
      <w:lvlText w:val=""/>
      <w:lvlJc w:val="left"/>
      <w:pPr>
        <w:ind w:left="2946" w:hanging="360"/>
      </w:pPr>
      <w:rPr>
        <w:rFonts w:ascii="Symbol" w:hAnsi="Symbol" w:hint="default"/>
      </w:rPr>
    </w:lvl>
    <w:lvl w:ilvl="4" w:tplc="08180003" w:tentative="1">
      <w:start w:val="1"/>
      <w:numFmt w:val="bullet"/>
      <w:lvlText w:val="o"/>
      <w:lvlJc w:val="left"/>
      <w:pPr>
        <w:ind w:left="3666" w:hanging="360"/>
      </w:pPr>
      <w:rPr>
        <w:rFonts w:ascii="Courier New" w:hAnsi="Courier New" w:cs="Courier New" w:hint="default"/>
      </w:rPr>
    </w:lvl>
    <w:lvl w:ilvl="5" w:tplc="08180005" w:tentative="1">
      <w:start w:val="1"/>
      <w:numFmt w:val="bullet"/>
      <w:lvlText w:val=""/>
      <w:lvlJc w:val="left"/>
      <w:pPr>
        <w:ind w:left="4386" w:hanging="360"/>
      </w:pPr>
      <w:rPr>
        <w:rFonts w:ascii="Wingdings" w:hAnsi="Wingdings" w:hint="default"/>
      </w:rPr>
    </w:lvl>
    <w:lvl w:ilvl="6" w:tplc="08180001" w:tentative="1">
      <w:start w:val="1"/>
      <w:numFmt w:val="bullet"/>
      <w:lvlText w:val=""/>
      <w:lvlJc w:val="left"/>
      <w:pPr>
        <w:ind w:left="5106" w:hanging="360"/>
      </w:pPr>
      <w:rPr>
        <w:rFonts w:ascii="Symbol" w:hAnsi="Symbol" w:hint="default"/>
      </w:rPr>
    </w:lvl>
    <w:lvl w:ilvl="7" w:tplc="08180003" w:tentative="1">
      <w:start w:val="1"/>
      <w:numFmt w:val="bullet"/>
      <w:lvlText w:val="o"/>
      <w:lvlJc w:val="left"/>
      <w:pPr>
        <w:ind w:left="5826" w:hanging="360"/>
      </w:pPr>
      <w:rPr>
        <w:rFonts w:ascii="Courier New" w:hAnsi="Courier New" w:cs="Courier New" w:hint="default"/>
      </w:rPr>
    </w:lvl>
    <w:lvl w:ilvl="8" w:tplc="08180005" w:tentative="1">
      <w:start w:val="1"/>
      <w:numFmt w:val="bullet"/>
      <w:lvlText w:val=""/>
      <w:lvlJc w:val="left"/>
      <w:pPr>
        <w:ind w:left="6546" w:hanging="360"/>
      </w:pPr>
      <w:rPr>
        <w:rFonts w:ascii="Wingdings" w:hAnsi="Wingdings" w:hint="default"/>
      </w:rPr>
    </w:lvl>
  </w:abstractNum>
  <w:abstractNum w:abstractNumId="2">
    <w:nsid w:val="027439D6"/>
    <w:multiLevelType w:val="hybridMultilevel"/>
    <w:tmpl w:val="AF82C16C"/>
    <w:lvl w:ilvl="0" w:tplc="CF8E0D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21C20"/>
    <w:multiLevelType w:val="hybridMultilevel"/>
    <w:tmpl w:val="CF709132"/>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5A53B95"/>
    <w:multiLevelType w:val="hybridMultilevel"/>
    <w:tmpl w:val="502CF7E2"/>
    <w:lvl w:ilvl="0" w:tplc="2BF48F26">
      <w:start w:val="1"/>
      <w:numFmt w:val="bullet"/>
      <w:lvlText w:val=""/>
      <w:lvlJc w:val="left"/>
      <w:pPr>
        <w:ind w:left="720" w:hanging="360"/>
      </w:pPr>
      <w:rPr>
        <w:rFonts w:ascii="Wingdings" w:hAnsi="Wingdings" w:hint="default"/>
        <w:b/>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57C35"/>
    <w:multiLevelType w:val="hybridMultilevel"/>
    <w:tmpl w:val="5A40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6005D"/>
    <w:multiLevelType w:val="hybridMultilevel"/>
    <w:tmpl w:val="40682DA0"/>
    <w:lvl w:ilvl="0" w:tplc="0818000B">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7">
    <w:nsid w:val="0F544D32"/>
    <w:multiLevelType w:val="hybridMultilevel"/>
    <w:tmpl w:val="8E7A4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340CD"/>
    <w:multiLevelType w:val="hybridMultilevel"/>
    <w:tmpl w:val="59D6028E"/>
    <w:lvl w:ilvl="0" w:tplc="800E08DE">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CF0BD9"/>
    <w:multiLevelType w:val="hybridMultilevel"/>
    <w:tmpl w:val="5740851E"/>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
    <w:nsid w:val="18285D3D"/>
    <w:multiLevelType w:val="hybridMultilevel"/>
    <w:tmpl w:val="C2860BC2"/>
    <w:lvl w:ilvl="0" w:tplc="934EACB4">
      <w:start w:val="1"/>
      <w:numFmt w:val="bullet"/>
      <w:lvlText w:val=""/>
      <w:lvlJc w:val="left"/>
      <w:pPr>
        <w:ind w:left="1211" w:hanging="360"/>
      </w:pPr>
      <w:rPr>
        <w:rFonts w:ascii="Wingdings" w:hAnsi="Wingdings" w:hint="default"/>
        <w:sz w:val="18"/>
        <w:szCs w:val="18"/>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1">
    <w:nsid w:val="216022E7"/>
    <w:multiLevelType w:val="hybridMultilevel"/>
    <w:tmpl w:val="809455F6"/>
    <w:lvl w:ilvl="0" w:tplc="0818000B">
      <w:start w:val="1"/>
      <w:numFmt w:val="bullet"/>
      <w:lvlText w:val=""/>
      <w:lvlJc w:val="left"/>
      <w:pPr>
        <w:ind w:left="360" w:hanging="360"/>
      </w:pPr>
      <w:rPr>
        <w:rFonts w:ascii="Wingdings" w:hAnsi="Wingdings"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12">
    <w:nsid w:val="23E3620C"/>
    <w:multiLevelType w:val="multilevel"/>
    <w:tmpl w:val="D3B67D3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3">
    <w:nsid w:val="25FE3B4F"/>
    <w:multiLevelType w:val="hybridMultilevel"/>
    <w:tmpl w:val="83BEACBC"/>
    <w:lvl w:ilvl="0" w:tplc="5420DB6A">
      <w:start w:val="1"/>
      <w:numFmt w:val="bullet"/>
      <w:lvlText w:val=""/>
      <w:lvlJc w:val="left"/>
      <w:pPr>
        <w:ind w:left="927" w:hanging="360"/>
      </w:pPr>
      <w:rPr>
        <w:rFonts w:ascii="Symbol" w:hAnsi="Symbol" w:hint="default"/>
        <w:sz w:val="24"/>
        <w:szCs w:val="24"/>
      </w:rPr>
    </w:lvl>
    <w:lvl w:ilvl="1" w:tplc="9612D58E">
      <w:numFmt w:val="bullet"/>
      <w:lvlText w:val="-"/>
      <w:lvlJc w:val="left"/>
      <w:pPr>
        <w:ind w:left="1874" w:hanging="735"/>
      </w:pPr>
      <w:rPr>
        <w:rFonts w:ascii="Times New Roman" w:eastAsia="Times New Roman" w:hAnsi="Times New Roman" w:cs="Times New Roman" w:hint="default"/>
      </w:rPr>
    </w:lvl>
    <w:lvl w:ilvl="2" w:tplc="04180005">
      <w:start w:val="1"/>
      <w:numFmt w:val="bullet"/>
      <w:lvlText w:val=""/>
      <w:lvlJc w:val="left"/>
      <w:pPr>
        <w:ind w:left="2219" w:hanging="360"/>
      </w:pPr>
      <w:rPr>
        <w:rFonts w:ascii="Wingdings" w:hAnsi="Wingdings" w:hint="default"/>
      </w:rPr>
    </w:lvl>
    <w:lvl w:ilvl="3" w:tplc="04180001">
      <w:start w:val="1"/>
      <w:numFmt w:val="bullet"/>
      <w:lvlText w:val=""/>
      <w:lvlJc w:val="left"/>
      <w:pPr>
        <w:ind w:left="2939" w:hanging="360"/>
      </w:pPr>
      <w:rPr>
        <w:rFonts w:ascii="Symbol" w:hAnsi="Symbol" w:hint="default"/>
      </w:rPr>
    </w:lvl>
    <w:lvl w:ilvl="4" w:tplc="04180003">
      <w:start w:val="1"/>
      <w:numFmt w:val="bullet"/>
      <w:lvlText w:val="o"/>
      <w:lvlJc w:val="left"/>
      <w:pPr>
        <w:ind w:left="3659" w:hanging="360"/>
      </w:pPr>
      <w:rPr>
        <w:rFonts w:ascii="Courier New" w:hAnsi="Courier New" w:cs="Courier New" w:hint="default"/>
      </w:rPr>
    </w:lvl>
    <w:lvl w:ilvl="5" w:tplc="04180005">
      <w:start w:val="1"/>
      <w:numFmt w:val="bullet"/>
      <w:lvlText w:val=""/>
      <w:lvlJc w:val="left"/>
      <w:pPr>
        <w:ind w:left="4379" w:hanging="360"/>
      </w:pPr>
      <w:rPr>
        <w:rFonts w:ascii="Wingdings" w:hAnsi="Wingdings" w:hint="default"/>
      </w:rPr>
    </w:lvl>
    <w:lvl w:ilvl="6" w:tplc="04180001">
      <w:start w:val="1"/>
      <w:numFmt w:val="bullet"/>
      <w:lvlText w:val=""/>
      <w:lvlJc w:val="left"/>
      <w:pPr>
        <w:ind w:left="5099" w:hanging="360"/>
      </w:pPr>
      <w:rPr>
        <w:rFonts w:ascii="Symbol" w:hAnsi="Symbol" w:hint="default"/>
      </w:rPr>
    </w:lvl>
    <w:lvl w:ilvl="7" w:tplc="04180003">
      <w:start w:val="1"/>
      <w:numFmt w:val="bullet"/>
      <w:lvlText w:val="o"/>
      <w:lvlJc w:val="left"/>
      <w:pPr>
        <w:ind w:left="5819" w:hanging="360"/>
      </w:pPr>
      <w:rPr>
        <w:rFonts w:ascii="Courier New" w:hAnsi="Courier New" w:cs="Courier New" w:hint="default"/>
      </w:rPr>
    </w:lvl>
    <w:lvl w:ilvl="8" w:tplc="04180005">
      <w:start w:val="1"/>
      <w:numFmt w:val="bullet"/>
      <w:lvlText w:val=""/>
      <w:lvlJc w:val="left"/>
      <w:pPr>
        <w:ind w:left="6539" w:hanging="360"/>
      </w:pPr>
      <w:rPr>
        <w:rFonts w:ascii="Wingdings" w:hAnsi="Wingdings" w:hint="default"/>
      </w:rPr>
    </w:lvl>
  </w:abstractNum>
  <w:abstractNum w:abstractNumId="14">
    <w:nsid w:val="2ABE744C"/>
    <w:multiLevelType w:val="hybridMultilevel"/>
    <w:tmpl w:val="D1A6760C"/>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nsid w:val="2B1216FD"/>
    <w:multiLevelType w:val="hybridMultilevel"/>
    <w:tmpl w:val="A8C2AD36"/>
    <w:lvl w:ilvl="0" w:tplc="67F0C01E">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C46888"/>
    <w:multiLevelType w:val="hybridMultilevel"/>
    <w:tmpl w:val="EEF857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C4670D"/>
    <w:multiLevelType w:val="hybridMultilevel"/>
    <w:tmpl w:val="D488F5EC"/>
    <w:lvl w:ilvl="0" w:tplc="1D0230B6">
      <w:start w:val="1"/>
      <w:numFmt w:val="bullet"/>
      <w:lvlText w:val=""/>
      <w:lvlJc w:val="left"/>
      <w:pPr>
        <w:ind w:left="786" w:hanging="360"/>
      </w:pPr>
      <w:rPr>
        <w:rFonts w:ascii="Symbol" w:hAnsi="Symbol" w:hint="default"/>
        <w:sz w:val="24"/>
        <w:szCs w:val="24"/>
      </w:rPr>
    </w:lvl>
    <w:lvl w:ilvl="1" w:tplc="08180003" w:tentative="1">
      <w:start w:val="1"/>
      <w:numFmt w:val="bullet"/>
      <w:lvlText w:val="o"/>
      <w:lvlJc w:val="left"/>
      <w:pPr>
        <w:ind w:left="1865" w:hanging="360"/>
      </w:pPr>
      <w:rPr>
        <w:rFonts w:ascii="Courier New" w:hAnsi="Courier New" w:cs="Courier New" w:hint="default"/>
      </w:rPr>
    </w:lvl>
    <w:lvl w:ilvl="2" w:tplc="08180005" w:tentative="1">
      <w:start w:val="1"/>
      <w:numFmt w:val="bullet"/>
      <w:lvlText w:val=""/>
      <w:lvlJc w:val="left"/>
      <w:pPr>
        <w:ind w:left="2585" w:hanging="360"/>
      </w:pPr>
      <w:rPr>
        <w:rFonts w:ascii="Wingdings" w:hAnsi="Wingdings" w:hint="default"/>
      </w:rPr>
    </w:lvl>
    <w:lvl w:ilvl="3" w:tplc="08180001" w:tentative="1">
      <w:start w:val="1"/>
      <w:numFmt w:val="bullet"/>
      <w:lvlText w:val=""/>
      <w:lvlJc w:val="left"/>
      <w:pPr>
        <w:ind w:left="3305" w:hanging="360"/>
      </w:pPr>
      <w:rPr>
        <w:rFonts w:ascii="Symbol" w:hAnsi="Symbol" w:hint="default"/>
      </w:rPr>
    </w:lvl>
    <w:lvl w:ilvl="4" w:tplc="08180003" w:tentative="1">
      <w:start w:val="1"/>
      <w:numFmt w:val="bullet"/>
      <w:lvlText w:val="o"/>
      <w:lvlJc w:val="left"/>
      <w:pPr>
        <w:ind w:left="4025" w:hanging="360"/>
      </w:pPr>
      <w:rPr>
        <w:rFonts w:ascii="Courier New" w:hAnsi="Courier New" w:cs="Courier New" w:hint="default"/>
      </w:rPr>
    </w:lvl>
    <w:lvl w:ilvl="5" w:tplc="08180005" w:tentative="1">
      <w:start w:val="1"/>
      <w:numFmt w:val="bullet"/>
      <w:lvlText w:val=""/>
      <w:lvlJc w:val="left"/>
      <w:pPr>
        <w:ind w:left="4745" w:hanging="360"/>
      </w:pPr>
      <w:rPr>
        <w:rFonts w:ascii="Wingdings" w:hAnsi="Wingdings" w:hint="default"/>
      </w:rPr>
    </w:lvl>
    <w:lvl w:ilvl="6" w:tplc="08180001" w:tentative="1">
      <w:start w:val="1"/>
      <w:numFmt w:val="bullet"/>
      <w:lvlText w:val=""/>
      <w:lvlJc w:val="left"/>
      <w:pPr>
        <w:ind w:left="5465" w:hanging="360"/>
      </w:pPr>
      <w:rPr>
        <w:rFonts w:ascii="Symbol" w:hAnsi="Symbol" w:hint="default"/>
      </w:rPr>
    </w:lvl>
    <w:lvl w:ilvl="7" w:tplc="08180003" w:tentative="1">
      <w:start w:val="1"/>
      <w:numFmt w:val="bullet"/>
      <w:lvlText w:val="o"/>
      <w:lvlJc w:val="left"/>
      <w:pPr>
        <w:ind w:left="6185" w:hanging="360"/>
      </w:pPr>
      <w:rPr>
        <w:rFonts w:ascii="Courier New" w:hAnsi="Courier New" w:cs="Courier New" w:hint="default"/>
      </w:rPr>
    </w:lvl>
    <w:lvl w:ilvl="8" w:tplc="08180005" w:tentative="1">
      <w:start w:val="1"/>
      <w:numFmt w:val="bullet"/>
      <w:lvlText w:val=""/>
      <w:lvlJc w:val="left"/>
      <w:pPr>
        <w:ind w:left="6905" w:hanging="360"/>
      </w:pPr>
      <w:rPr>
        <w:rFonts w:ascii="Wingdings" w:hAnsi="Wingdings" w:hint="default"/>
      </w:rPr>
    </w:lvl>
  </w:abstractNum>
  <w:abstractNum w:abstractNumId="18">
    <w:nsid w:val="525967C3"/>
    <w:multiLevelType w:val="hybridMultilevel"/>
    <w:tmpl w:val="F502E192"/>
    <w:lvl w:ilvl="0" w:tplc="1D6ADAE8">
      <w:start w:val="1"/>
      <w:numFmt w:val="bullet"/>
      <w:lvlText w:val=""/>
      <w:lvlJc w:val="left"/>
      <w:pPr>
        <w:ind w:left="1287" w:hanging="360"/>
      </w:pPr>
      <w:rPr>
        <w:rFonts w:ascii="Symbol" w:hAnsi="Symbol" w:hint="default"/>
        <w:sz w:val="24"/>
        <w:szCs w:val="24"/>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9">
    <w:nsid w:val="580B69AD"/>
    <w:multiLevelType w:val="hybridMultilevel"/>
    <w:tmpl w:val="B32E69C8"/>
    <w:lvl w:ilvl="0" w:tplc="0818000D">
      <w:start w:val="1"/>
      <w:numFmt w:val="bullet"/>
      <w:lvlText w:val=""/>
      <w:lvlJc w:val="left"/>
      <w:pPr>
        <w:ind w:left="1070" w:hanging="360"/>
      </w:pPr>
      <w:rPr>
        <w:rFonts w:ascii="Wingdings" w:hAnsi="Wingdings" w:hint="default"/>
      </w:rPr>
    </w:lvl>
    <w:lvl w:ilvl="1" w:tplc="04180003">
      <w:start w:val="1"/>
      <w:numFmt w:val="bullet"/>
      <w:lvlText w:val="o"/>
      <w:lvlJc w:val="left"/>
      <w:pPr>
        <w:ind w:left="1865" w:hanging="360"/>
      </w:pPr>
      <w:rPr>
        <w:rFonts w:ascii="Courier New" w:hAnsi="Courier New" w:cs="Courier New" w:hint="default"/>
      </w:rPr>
    </w:lvl>
    <w:lvl w:ilvl="2" w:tplc="04180005">
      <w:start w:val="1"/>
      <w:numFmt w:val="bullet"/>
      <w:lvlText w:val=""/>
      <w:lvlJc w:val="left"/>
      <w:pPr>
        <w:ind w:left="2585" w:hanging="360"/>
      </w:pPr>
      <w:rPr>
        <w:rFonts w:ascii="Wingdings" w:hAnsi="Wingdings" w:hint="default"/>
      </w:rPr>
    </w:lvl>
    <w:lvl w:ilvl="3" w:tplc="04180001">
      <w:start w:val="1"/>
      <w:numFmt w:val="bullet"/>
      <w:lvlText w:val=""/>
      <w:lvlJc w:val="left"/>
      <w:pPr>
        <w:ind w:left="3305" w:hanging="360"/>
      </w:pPr>
      <w:rPr>
        <w:rFonts w:ascii="Symbol" w:hAnsi="Symbol" w:hint="default"/>
      </w:rPr>
    </w:lvl>
    <w:lvl w:ilvl="4" w:tplc="04180003">
      <w:start w:val="1"/>
      <w:numFmt w:val="bullet"/>
      <w:lvlText w:val="o"/>
      <w:lvlJc w:val="left"/>
      <w:pPr>
        <w:ind w:left="4025" w:hanging="360"/>
      </w:pPr>
      <w:rPr>
        <w:rFonts w:ascii="Courier New" w:hAnsi="Courier New" w:cs="Courier New" w:hint="default"/>
      </w:rPr>
    </w:lvl>
    <w:lvl w:ilvl="5" w:tplc="04180005">
      <w:start w:val="1"/>
      <w:numFmt w:val="bullet"/>
      <w:lvlText w:val=""/>
      <w:lvlJc w:val="left"/>
      <w:pPr>
        <w:ind w:left="4745" w:hanging="360"/>
      </w:pPr>
      <w:rPr>
        <w:rFonts w:ascii="Wingdings" w:hAnsi="Wingdings" w:hint="default"/>
      </w:rPr>
    </w:lvl>
    <w:lvl w:ilvl="6" w:tplc="04180001">
      <w:start w:val="1"/>
      <w:numFmt w:val="bullet"/>
      <w:lvlText w:val=""/>
      <w:lvlJc w:val="left"/>
      <w:pPr>
        <w:ind w:left="5465" w:hanging="360"/>
      </w:pPr>
      <w:rPr>
        <w:rFonts w:ascii="Symbol" w:hAnsi="Symbol" w:hint="default"/>
      </w:rPr>
    </w:lvl>
    <w:lvl w:ilvl="7" w:tplc="04180003">
      <w:start w:val="1"/>
      <w:numFmt w:val="bullet"/>
      <w:lvlText w:val="o"/>
      <w:lvlJc w:val="left"/>
      <w:pPr>
        <w:ind w:left="6185" w:hanging="360"/>
      </w:pPr>
      <w:rPr>
        <w:rFonts w:ascii="Courier New" w:hAnsi="Courier New" w:cs="Courier New" w:hint="default"/>
      </w:rPr>
    </w:lvl>
    <w:lvl w:ilvl="8" w:tplc="04180005">
      <w:start w:val="1"/>
      <w:numFmt w:val="bullet"/>
      <w:lvlText w:val=""/>
      <w:lvlJc w:val="left"/>
      <w:pPr>
        <w:ind w:left="6905" w:hanging="360"/>
      </w:pPr>
      <w:rPr>
        <w:rFonts w:ascii="Wingdings" w:hAnsi="Wingdings" w:hint="default"/>
      </w:rPr>
    </w:lvl>
  </w:abstractNum>
  <w:abstractNum w:abstractNumId="20">
    <w:nsid w:val="5DE73EAB"/>
    <w:multiLevelType w:val="hybridMultilevel"/>
    <w:tmpl w:val="ABA2DAAE"/>
    <w:lvl w:ilvl="0" w:tplc="0818000B">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21">
    <w:nsid w:val="67A90F9D"/>
    <w:multiLevelType w:val="hybridMultilevel"/>
    <w:tmpl w:val="37B8E734"/>
    <w:lvl w:ilvl="0" w:tplc="62F26244">
      <w:start w:val="1"/>
      <w:numFmt w:val="bullet"/>
      <w:lvlText w:val=""/>
      <w:lvlJc w:val="left"/>
      <w:pPr>
        <w:ind w:left="1495" w:hanging="360"/>
      </w:pPr>
      <w:rPr>
        <w:rFonts w:ascii="Symbol" w:hAnsi="Symbol" w:hint="default"/>
        <w:sz w:val="24"/>
        <w:szCs w:val="24"/>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2">
    <w:nsid w:val="6A56334A"/>
    <w:multiLevelType w:val="hybridMultilevel"/>
    <w:tmpl w:val="B616F34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1081A6F"/>
    <w:multiLevelType w:val="hybridMultilevel"/>
    <w:tmpl w:val="3E3AC4C4"/>
    <w:lvl w:ilvl="0" w:tplc="08180001">
      <w:start w:val="1"/>
      <w:numFmt w:val="bullet"/>
      <w:lvlText w:val=""/>
      <w:lvlJc w:val="left"/>
      <w:pPr>
        <w:ind w:left="1428" w:hanging="360"/>
      </w:pPr>
      <w:rPr>
        <w:rFonts w:ascii="Symbol" w:hAnsi="Symbol" w:hint="default"/>
      </w:rPr>
    </w:lvl>
    <w:lvl w:ilvl="1" w:tplc="08180003">
      <w:start w:val="1"/>
      <w:numFmt w:val="bullet"/>
      <w:lvlText w:val="o"/>
      <w:lvlJc w:val="left"/>
      <w:pPr>
        <w:ind w:left="2148" w:hanging="360"/>
      </w:pPr>
      <w:rPr>
        <w:rFonts w:ascii="Courier New" w:hAnsi="Courier New" w:cs="Courier New" w:hint="default"/>
      </w:rPr>
    </w:lvl>
    <w:lvl w:ilvl="2" w:tplc="08180005">
      <w:start w:val="1"/>
      <w:numFmt w:val="bullet"/>
      <w:lvlText w:val=""/>
      <w:lvlJc w:val="left"/>
      <w:pPr>
        <w:ind w:left="2868" w:hanging="360"/>
      </w:pPr>
      <w:rPr>
        <w:rFonts w:ascii="Wingdings" w:hAnsi="Wingdings" w:hint="default"/>
      </w:rPr>
    </w:lvl>
    <w:lvl w:ilvl="3" w:tplc="08180001">
      <w:start w:val="1"/>
      <w:numFmt w:val="bullet"/>
      <w:lvlText w:val=""/>
      <w:lvlJc w:val="left"/>
      <w:pPr>
        <w:ind w:left="3588" w:hanging="360"/>
      </w:pPr>
      <w:rPr>
        <w:rFonts w:ascii="Symbol" w:hAnsi="Symbol" w:hint="default"/>
      </w:rPr>
    </w:lvl>
    <w:lvl w:ilvl="4" w:tplc="08180003">
      <w:start w:val="1"/>
      <w:numFmt w:val="bullet"/>
      <w:lvlText w:val="o"/>
      <w:lvlJc w:val="left"/>
      <w:pPr>
        <w:ind w:left="4308" w:hanging="360"/>
      </w:pPr>
      <w:rPr>
        <w:rFonts w:ascii="Courier New" w:hAnsi="Courier New" w:cs="Courier New" w:hint="default"/>
      </w:rPr>
    </w:lvl>
    <w:lvl w:ilvl="5" w:tplc="08180005">
      <w:start w:val="1"/>
      <w:numFmt w:val="bullet"/>
      <w:lvlText w:val=""/>
      <w:lvlJc w:val="left"/>
      <w:pPr>
        <w:ind w:left="5028" w:hanging="360"/>
      </w:pPr>
      <w:rPr>
        <w:rFonts w:ascii="Wingdings" w:hAnsi="Wingdings" w:hint="default"/>
      </w:rPr>
    </w:lvl>
    <w:lvl w:ilvl="6" w:tplc="08180001">
      <w:start w:val="1"/>
      <w:numFmt w:val="bullet"/>
      <w:lvlText w:val=""/>
      <w:lvlJc w:val="left"/>
      <w:pPr>
        <w:ind w:left="5748" w:hanging="360"/>
      </w:pPr>
      <w:rPr>
        <w:rFonts w:ascii="Symbol" w:hAnsi="Symbol" w:hint="default"/>
      </w:rPr>
    </w:lvl>
    <w:lvl w:ilvl="7" w:tplc="08180003">
      <w:start w:val="1"/>
      <w:numFmt w:val="bullet"/>
      <w:lvlText w:val="o"/>
      <w:lvlJc w:val="left"/>
      <w:pPr>
        <w:ind w:left="6468" w:hanging="360"/>
      </w:pPr>
      <w:rPr>
        <w:rFonts w:ascii="Courier New" w:hAnsi="Courier New" w:cs="Courier New" w:hint="default"/>
      </w:rPr>
    </w:lvl>
    <w:lvl w:ilvl="8" w:tplc="08180005">
      <w:start w:val="1"/>
      <w:numFmt w:val="bullet"/>
      <w:lvlText w:val=""/>
      <w:lvlJc w:val="left"/>
      <w:pPr>
        <w:ind w:left="7188" w:hanging="360"/>
      </w:pPr>
      <w:rPr>
        <w:rFonts w:ascii="Wingdings" w:hAnsi="Wingdings" w:hint="default"/>
      </w:rPr>
    </w:lvl>
  </w:abstractNum>
  <w:abstractNum w:abstractNumId="24">
    <w:nsid w:val="7D044C0C"/>
    <w:multiLevelType w:val="hybridMultilevel"/>
    <w:tmpl w:val="DA8A98D0"/>
    <w:lvl w:ilvl="0" w:tplc="DEA268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20"/>
  </w:num>
  <w:num w:numId="5">
    <w:abstractNumId w:val="17"/>
  </w:num>
  <w:num w:numId="6">
    <w:abstractNumId w:val="1"/>
  </w:num>
  <w:num w:numId="7">
    <w:abstractNumId w:val="19"/>
  </w:num>
  <w:num w:numId="8">
    <w:abstractNumId w:val="3"/>
  </w:num>
  <w:num w:numId="9">
    <w:abstractNumId w:val="14"/>
  </w:num>
  <w:num w:numId="10">
    <w:abstractNumId w:val="21"/>
  </w:num>
  <w:num w:numId="11">
    <w:abstractNumId w:val="15"/>
  </w:num>
  <w:num w:numId="12">
    <w:abstractNumId w:val="4"/>
  </w:num>
  <w:num w:numId="13">
    <w:abstractNumId w:val="9"/>
  </w:num>
  <w:num w:numId="14">
    <w:abstractNumId w:val="24"/>
  </w:num>
  <w:num w:numId="15">
    <w:abstractNumId w:val="18"/>
  </w:num>
  <w:num w:numId="16">
    <w:abstractNumId w:val="8"/>
  </w:num>
  <w:num w:numId="17">
    <w:abstractNumId w:val="5"/>
  </w:num>
  <w:num w:numId="18">
    <w:abstractNumId w:val="2"/>
  </w:num>
  <w:num w:numId="19">
    <w:abstractNumId w:val="0"/>
  </w:num>
  <w:num w:numId="20">
    <w:abstractNumId w:val="12"/>
  </w:num>
  <w:num w:numId="21">
    <w:abstractNumId w:val="16"/>
  </w:num>
  <w:num w:numId="22">
    <w:abstractNumId w:val="22"/>
  </w:num>
  <w:num w:numId="23">
    <w:abstractNumId w:val="10"/>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9B"/>
    <w:rsid w:val="002D3284"/>
    <w:rsid w:val="007B579B"/>
    <w:rsid w:val="00A13B2F"/>
    <w:rsid w:val="00F2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A0FC3-3C9F-44A3-BEF5-C76BACA7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3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Текст сноски2,single space,FOOTNOTES,fn,A Знак Знак,footnote text"/>
    <w:basedOn w:val="a"/>
    <w:link w:val="a4"/>
    <w:uiPriority w:val="99"/>
    <w:qFormat/>
    <w:rsid w:val="00F24302"/>
    <w:pPr>
      <w:spacing w:after="0" w:line="240" w:lineRule="auto"/>
      <w:ind w:firstLine="567"/>
      <w:jc w:val="both"/>
    </w:pPr>
    <w:rPr>
      <w:rFonts w:ascii="Times New Roman" w:hAnsi="Times New Roman"/>
      <w:sz w:val="24"/>
      <w:szCs w:val="20"/>
      <w:lang w:val="x-none" w:eastAsia="x-none"/>
    </w:rPr>
  </w:style>
  <w:style w:type="paragraph" w:customStyle="1" w:styleId="tt">
    <w:name w:val="tt"/>
    <w:basedOn w:val="a"/>
    <w:uiPriority w:val="99"/>
    <w:qFormat/>
    <w:rsid w:val="00F24302"/>
    <w:pPr>
      <w:spacing w:after="0" w:line="240" w:lineRule="auto"/>
      <w:jc w:val="center"/>
    </w:pPr>
    <w:rPr>
      <w:rFonts w:ascii="Times New Roman" w:eastAsia="Times New Roman" w:hAnsi="Times New Roman"/>
      <w:b/>
      <w:bCs/>
      <w:sz w:val="24"/>
      <w:szCs w:val="24"/>
    </w:rPr>
  </w:style>
  <w:style w:type="paragraph" w:customStyle="1" w:styleId="pb">
    <w:name w:val="pb"/>
    <w:basedOn w:val="a"/>
    <w:uiPriority w:val="99"/>
    <w:qFormat/>
    <w:rsid w:val="00F24302"/>
    <w:pPr>
      <w:spacing w:after="0" w:line="240" w:lineRule="auto"/>
      <w:jc w:val="center"/>
    </w:pPr>
    <w:rPr>
      <w:rFonts w:ascii="Times New Roman" w:eastAsia="Times New Roman" w:hAnsi="Times New Roman"/>
      <w:i/>
      <w:iCs/>
      <w:color w:val="663300"/>
      <w:sz w:val="20"/>
      <w:szCs w:val="20"/>
    </w:rPr>
  </w:style>
  <w:style w:type="paragraph" w:customStyle="1" w:styleId="cu">
    <w:name w:val="cu"/>
    <w:basedOn w:val="a"/>
    <w:uiPriority w:val="99"/>
    <w:qFormat/>
    <w:rsid w:val="00F24302"/>
    <w:pPr>
      <w:spacing w:before="45" w:after="0" w:line="240" w:lineRule="auto"/>
      <w:ind w:left="1134" w:right="567" w:hanging="567"/>
      <w:jc w:val="both"/>
    </w:pPr>
    <w:rPr>
      <w:rFonts w:ascii="Times New Roman" w:eastAsia="Times New Roman" w:hAnsi="Times New Roman"/>
      <w:sz w:val="20"/>
      <w:szCs w:val="20"/>
    </w:rPr>
  </w:style>
  <w:style w:type="paragraph" w:customStyle="1" w:styleId="cut">
    <w:name w:val="cut"/>
    <w:basedOn w:val="a"/>
    <w:uiPriority w:val="99"/>
    <w:qFormat/>
    <w:rsid w:val="00F24302"/>
    <w:pPr>
      <w:spacing w:after="0" w:line="240" w:lineRule="auto"/>
      <w:ind w:left="567" w:right="567" w:firstLine="567"/>
      <w:jc w:val="center"/>
    </w:pPr>
    <w:rPr>
      <w:rFonts w:ascii="Times New Roman" w:eastAsia="Times New Roman" w:hAnsi="Times New Roman"/>
      <w:b/>
      <w:bCs/>
      <w:sz w:val="20"/>
      <w:szCs w:val="20"/>
    </w:rPr>
  </w:style>
  <w:style w:type="paragraph" w:customStyle="1" w:styleId="cp">
    <w:name w:val="cp"/>
    <w:basedOn w:val="a"/>
    <w:uiPriority w:val="99"/>
    <w:qFormat/>
    <w:rsid w:val="00F24302"/>
    <w:pPr>
      <w:spacing w:after="0" w:line="240" w:lineRule="auto"/>
      <w:jc w:val="center"/>
    </w:pPr>
    <w:rPr>
      <w:rFonts w:ascii="Times New Roman" w:eastAsia="Times New Roman" w:hAnsi="Times New Roman"/>
      <w:b/>
      <w:bCs/>
      <w:sz w:val="24"/>
      <w:szCs w:val="24"/>
    </w:rPr>
  </w:style>
  <w:style w:type="paragraph" w:customStyle="1" w:styleId="nt">
    <w:name w:val="nt"/>
    <w:basedOn w:val="a"/>
    <w:uiPriority w:val="99"/>
    <w:qFormat/>
    <w:rsid w:val="00F24302"/>
    <w:pPr>
      <w:spacing w:after="0" w:line="240" w:lineRule="auto"/>
      <w:ind w:left="567" w:right="567" w:hanging="567"/>
      <w:jc w:val="both"/>
    </w:pPr>
    <w:rPr>
      <w:rFonts w:ascii="Times New Roman" w:eastAsia="Times New Roman" w:hAnsi="Times New Roman"/>
      <w:i/>
      <w:iCs/>
      <w:color w:val="663300"/>
      <w:sz w:val="20"/>
      <w:szCs w:val="20"/>
    </w:rPr>
  </w:style>
  <w:style w:type="paragraph" w:customStyle="1" w:styleId="md">
    <w:name w:val="md"/>
    <w:basedOn w:val="a"/>
    <w:uiPriority w:val="99"/>
    <w:qFormat/>
    <w:rsid w:val="00F24302"/>
    <w:pPr>
      <w:spacing w:after="0" w:line="240" w:lineRule="auto"/>
      <w:ind w:firstLine="567"/>
      <w:jc w:val="both"/>
    </w:pPr>
    <w:rPr>
      <w:rFonts w:ascii="Times New Roman" w:eastAsia="Times New Roman" w:hAnsi="Times New Roman"/>
      <w:i/>
      <w:iCs/>
      <w:color w:val="663300"/>
      <w:sz w:val="20"/>
      <w:szCs w:val="20"/>
    </w:rPr>
  </w:style>
  <w:style w:type="paragraph" w:customStyle="1" w:styleId="sm">
    <w:name w:val="sm"/>
    <w:basedOn w:val="a"/>
    <w:uiPriority w:val="99"/>
    <w:qFormat/>
    <w:rsid w:val="00F24302"/>
    <w:pPr>
      <w:spacing w:after="0" w:line="240" w:lineRule="auto"/>
      <w:ind w:firstLine="567"/>
    </w:pPr>
    <w:rPr>
      <w:rFonts w:ascii="Times New Roman" w:eastAsia="Times New Roman" w:hAnsi="Times New Roman"/>
      <w:b/>
      <w:bCs/>
      <w:sz w:val="20"/>
      <w:szCs w:val="20"/>
    </w:rPr>
  </w:style>
  <w:style w:type="paragraph" w:customStyle="1" w:styleId="cn">
    <w:name w:val="cn"/>
    <w:basedOn w:val="a"/>
    <w:uiPriority w:val="99"/>
    <w:qFormat/>
    <w:rsid w:val="00F24302"/>
    <w:pPr>
      <w:spacing w:after="0" w:line="240" w:lineRule="auto"/>
      <w:jc w:val="center"/>
    </w:pPr>
    <w:rPr>
      <w:rFonts w:ascii="Times New Roman" w:eastAsia="Times New Roman" w:hAnsi="Times New Roman"/>
      <w:sz w:val="24"/>
      <w:szCs w:val="24"/>
    </w:rPr>
  </w:style>
  <w:style w:type="paragraph" w:customStyle="1" w:styleId="cb">
    <w:name w:val="cb"/>
    <w:basedOn w:val="a"/>
    <w:uiPriority w:val="99"/>
    <w:qFormat/>
    <w:rsid w:val="00F24302"/>
    <w:pPr>
      <w:spacing w:after="0" w:line="240" w:lineRule="auto"/>
      <w:jc w:val="center"/>
    </w:pPr>
    <w:rPr>
      <w:rFonts w:ascii="Times New Roman" w:eastAsia="Times New Roman" w:hAnsi="Times New Roman"/>
      <w:b/>
      <w:bCs/>
      <w:sz w:val="24"/>
      <w:szCs w:val="24"/>
    </w:rPr>
  </w:style>
  <w:style w:type="paragraph" w:customStyle="1" w:styleId="rg">
    <w:name w:val="rg"/>
    <w:basedOn w:val="a"/>
    <w:uiPriority w:val="99"/>
    <w:qFormat/>
    <w:rsid w:val="00F24302"/>
    <w:pPr>
      <w:spacing w:after="0" w:line="240" w:lineRule="auto"/>
      <w:jc w:val="right"/>
    </w:pPr>
    <w:rPr>
      <w:rFonts w:ascii="Times New Roman" w:eastAsia="Times New Roman" w:hAnsi="Times New Roman"/>
      <w:sz w:val="24"/>
      <w:szCs w:val="24"/>
    </w:rPr>
  </w:style>
  <w:style w:type="paragraph" w:customStyle="1" w:styleId="js">
    <w:name w:val="js"/>
    <w:basedOn w:val="a"/>
    <w:uiPriority w:val="99"/>
    <w:qFormat/>
    <w:rsid w:val="00F24302"/>
    <w:pPr>
      <w:spacing w:after="0" w:line="240" w:lineRule="auto"/>
      <w:jc w:val="both"/>
    </w:pPr>
    <w:rPr>
      <w:rFonts w:ascii="Times New Roman" w:eastAsia="Times New Roman" w:hAnsi="Times New Roman"/>
      <w:sz w:val="24"/>
      <w:szCs w:val="24"/>
    </w:rPr>
  </w:style>
  <w:style w:type="paragraph" w:customStyle="1" w:styleId="lf">
    <w:name w:val="lf"/>
    <w:basedOn w:val="a"/>
    <w:uiPriority w:val="99"/>
    <w:qFormat/>
    <w:rsid w:val="00F24302"/>
    <w:pPr>
      <w:spacing w:after="0" w:line="240" w:lineRule="auto"/>
    </w:pPr>
    <w:rPr>
      <w:rFonts w:ascii="Times New Roman" w:eastAsia="Times New Roman" w:hAnsi="Times New Roman"/>
      <w:sz w:val="24"/>
      <w:szCs w:val="24"/>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Текст сноски2 Знак"/>
    <w:link w:val="a3"/>
    <w:uiPriority w:val="99"/>
    <w:locked/>
    <w:rsid w:val="00F24302"/>
    <w:rPr>
      <w:rFonts w:ascii="Times New Roman" w:eastAsia="Calibri" w:hAnsi="Times New Roman" w:cs="Times New Roman"/>
      <w:sz w:val="24"/>
      <w:szCs w:val="20"/>
      <w:lang w:val="x-none" w:eastAsia="x-none"/>
    </w:rPr>
  </w:style>
  <w:style w:type="character" w:customStyle="1" w:styleId="a5">
    <w:name w:val="Текст сноски Знак"/>
    <w:aliases w:val="Знак Знак,Char Знак,Знак1 Знак,Fußnote Char Char Знак,A Знак, Знак Знак, Char Знак"/>
    <w:basedOn w:val="a0"/>
    <w:link w:val="a6"/>
    <w:uiPriority w:val="99"/>
    <w:locked/>
    <w:rsid w:val="00F24302"/>
    <w:rPr>
      <w:sz w:val="20"/>
      <w:szCs w:val="20"/>
    </w:rPr>
  </w:style>
  <w:style w:type="paragraph" w:styleId="a6">
    <w:name w:val="footnote text"/>
    <w:aliases w:val="Знак,Char,Знак1,Fußnote Char Char,A, Знак, Char"/>
    <w:basedOn w:val="a"/>
    <w:link w:val="a5"/>
    <w:uiPriority w:val="99"/>
    <w:unhideWhenUsed/>
    <w:qFormat/>
    <w:rsid w:val="00F24302"/>
    <w:pPr>
      <w:spacing w:after="0" w:line="240" w:lineRule="auto"/>
    </w:pPr>
    <w:rPr>
      <w:rFonts w:asciiTheme="minorHAnsi" w:eastAsiaTheme="minorHAnsi" w:hAnsiTheme="minorHAnsi" w:cstheme="minorBidi"/>
      <w:sz w:val="20"/>
      <w:szCs w:val="20"/>
    </w:rPr>
  </w:style>
  <w:style w:type="character" w:customStyle="1" w:styleId="1">
    <w:name w:val="Текст сноски Знак1"/>
    <w:aliases w:val="Знак Знак1,Char Знак1,Знак1 Знак1,Fußnote Char Char Знак1,A Знак1"/>
    <w:basedOn w:val="a0"/>
    <w:uiPriority w:val="99"/>
    <w:semiHidden/>
    <w:rsid w:val="00F24302"/>
    <w:rPr>
      <w:rFonts w:ascii="Calibri" w:eastAsia="Calibri" w:hAnsi="Calibri" w:cs="Times New Roman"/>
      <w:sz w:val="20"/>
      <w:szCs w:val="20"/>
    </w:rPr>
  </w:style>
  <w:style w:type="character" w:styleId="a7">
    <w:name w:val="footnote reference"/>
    <w:aliases w:val="ftref,Times 10 Point,Exposant 3 Point,Footnote symbol,Footnote reference number,EN Footnote Reference,note TESI,16 Point,Superscript 6 Point,BVI fnr"/>
    <w:basedOn w:val="a0"/>
    <w:uiPriority w:val="99"/>
    <w:unhideWhenUsed/>
    <w:rsid w:val="00F24302"/>
    <w:rPr>
      <w:vertAlign w:val="superscript"/>
    </w:rPr>
  </w:style>
  <w:style w:type="character" w:customStyle="1" w:styleId="a8">
    <w:name w:val="Абзац списка Знак"/>
    <w:link w:val="a9"/>
    <w:uiPriority w:val="34"/>
    <w:locked/>
    <w:rsid w:val="00F24302"/>
    <w:rPr>
      <w:rFonts w:ascii="Times New Roman" w:eastAsia="Times New Roman" w:hAnsi="Times New Roman"/>
      <w:sz w:val="24"/>
      <w:szCs w:val="24"/>
    </w:rPr>
  </w:style>
  <w:style w:type="paragraph" w:styleId="a9">
    <w:name w:val="List Paragraph"/>
    <w:basedOn w:val="a"/>
    <w:link w:val="a8"/>
    <w:uiPriority w:val="34"/>
    <w:qFormat/>
    <w:rsid w:val="00F24302"/>
    <w:pPr>
      <w:spacing w:after="0" w:line="240" w:lineRule="auto"/>
      <w:ind w:left="720"/>
      <w:contextualSpacing/>
    </w:pPr>
    <w:rPr>
      <w:rFonts w:ascii="Times New Roman" w:eastAsia="Times New Roman" w:hAnsi="Times New Roman" w:cstheme="minorBidi"/>
      <w:sz w:val="24"/>
      <w:szCs w:val="24"/>
    </w:rPr>
  </w:style>
  <w:style w:type="paragraph" w:customStyle="1" w:styleId="Style1">
    <w:name w:val="Style1"/>
    <w:basedOn w:val="a"/>
    <w:link w:val="Style1Char"/>
    <w:qFormat/>
    <w:rsid w:val="00F24302"/>
    <w:pPr>
      <w:spacing w:after="0" w:line="276" w:lineRule="auto"/>
    </w:pPr>
    <w:rPr>
      <w:rFonts w:ascii="Times New Roman" w:hAnsi="Times New Roman"/>
      <w:sz w:val="18"/>
      <w:szCs w:val="20"/>
      <w:lang w:val="x-none"/>
    </w:rPr>
  </w:style>
  <w:style w:type="character" w:customStyle="1" w:styleId="Style1Char">
    <w:name w:val="Style1 Char"/>
    <w:link w:val="Style1"/>
    <w:rsid w:val="00F24302"/>
    <w:rPr>
      <w:rFonts w:ascii="Times New Roman" w:eastAsia="Calibri" w:hAnsi="Times New Roman" w:cs="Times New Roman"/>
      <w:sz w:val="18"/>
      <w:szCs w:val="20"/>
      <w:lang w:val="x-none"/>
    </w:rPr>
  </w:style>
  <w:style w:type="character" w:customStyle="1" w:styleId="10">
    <w:name w:val="Гиперссылка1"/>
    <w:basedOn w:val="a0"/>
    <w:uiPriority w:val="99"/>
    <w:unhideWhenUsed/>
    <w:rsid w:val="00F24302"/>
    <w:rPr>
      <w:color w:val="0563C1"/>
      <w:u w:val="single"/>
    </w:rPr>
  </w:style>
  <w:style w:type="table" w:customStyle="1" w:styleId="11">
    <w:name w:val="Сетка таблицы1"/>
    <w:basedOn w:val="a1"/>
    <w:next w:val="aa"/>
    <w:uiPriority w:val="39"/>
    <w:rsid w:val="00F24302"/>
    <w:pPr>
      <w:spacing w:after="0" w:line="240" w:lineRule="auto"/>
    </w:pPr>
    <w:rPr>
      <w:rFonts w:ascii="Calibri" w:eastAsia="Times New Roman"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24302"/>
    <w:rPr>
      <w:color w:val="0000FF"/>
      <w:u w:val="single"/>
    </w:rPr>
  </w:style>
  <w:style w:type="table" w:styleId="aa">
    <w:name w:val="Table Grid"/>
    <w:basedOn w:val="a1"/>
    <w:rsid w:val="00F2430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243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4302"/>
    <w:rPr>
      <w:rFonts w:ascii="Segoe UI" w:eastAsia="Calibri" w:hAnsi="Segoe UI" w:cs="Segoe UI"/>
      <w:sz w:val="18"/>
      <w:szCs w:val="18"/>
    </w:rPr>
  </w:style>
  <w:style w:type="character" w:styleId="ae">
    <w:name w:val="FollowedHyperlink"/>
    <w:basedOn w:val="a0"/>
    <w:uiPriority w:val="99"/>
    <w:semiHidden/>
    <w:unhideWhenUsed/>
    <w:rsid w:val="00F24302"/>
    <w:rPr>
      <w:color w:val="800080"/>
      <w:u w:val="single"/>
    </w:rPr>
  </w:style>
  <w:style w:type="paragraph" w:styleId="af">
    <w:name w:val="footer"/>
    <w:basedOn w:val="a"/>
    <w:link w:val="af0"/>
    <w:uiPriority w:val="99"/>
    <w:unhideWhenUsed/>
    <w:rsid w:val="00F243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24302"/>
    <w:rPr>
      <w:rFonts w:ascii="Calibri" w:eastAsia="Calibri" w:hAnsi="Calibri" w:cs="Times New Roman"/>
    </w:rPr>
  </w:style>
  <w:style w:type="table" w:customStyle="1" w:styleId="2">
    <w:name w:val="Сетка таблицы2"/>
    <w:basedOn w:val="a1"/>
    <w:next w:val="aa"/>
    <w:uiPriority w:val="39"/>
    <w:rsid w:val="00F24302"/>
    <w:pPr>
      <w:spacing w:after="0" w:line="240" w:lineRule="auto"/>
    </w:pPr>
    <w:rPr>
      <w:rFonts w:ascii="Calibri" w:eastAsia="Times New Roman"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a"/>
    <w:uiPriority w:val="59"/>
    <w:rsid w:val="00F243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F2430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24302"/>
    <w:rPr>
      <w:rFonts w:ascii="Calibri" w:eastAsia="Calibri" w:hAnsi="Calibri" w:cs="Times New Roman"/>
    </w:rPr>
  </w:style>
  <w:style w:type="character" w:styleId="af3">
    <w:name w:val="annotation reference"/>
    <w:basedOn w:val="a0"/>
    <w:uiPriority w:val="99"/>
    <w:semiHidden/>
    <w:unhideWhenUsed/>
    <w:rsid w:val="00F24302"/>
    <w:rPr>
      <w:sz w:val="16"/>
      <w:szCs w:val="16"/>
    </w:rPr>
  </w:style>
  <w:style w:type="paragraph" w:styleId="af4">
    <w:name w:val="annotation text"/>
    <w:basedOn w:val="a"/>
    <w:link w:val="af5"/>
    <w:uiPriority w:val="99"/>
    <w:semiHidden/>
    <w:unhideWhenUsed/>
    <w:rsid w:val="00F24302"/>
    <w:pPr>
      <w:spacing w:line="240" w:lineRule="auto"/>
    </w:pPr>
    <w:rPr>
      <w:sz w:val="20"/>
      <w:szCs w:val="20"/>
    </w:rPr>
  </w:style>
  <w:style w:type="character" w:customStyle="1" w:styleId="af5">
    <w:name w:val="Текст примечания Знак"/>
    <w:basedOn w:val="a0"/>
    <w:link w:val="af4"/>
    <w:uiPriority w:val="99"/>
    <w:semiHidden/>
    <w:rsid w:val="00F24302"/>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F24302"/>
    <w:rPr>
      <w:b/>
      <w:bCs/>
    </w:rPr>
  </w:style>
  <w:style w:type="character" w:customStyle="1" w:styleId="af7">
    <w:name w:val="Тема примечания Знак"/>
    <w:basedOn w:val="af5"/>
    <w:link w:val="af6"/>
    <w:uiPriority w:val="99"/>
    <w:semiHidden/>
    <w:rsid w:val="00F24302"/>
    <w:rPr>
      <w:rFonts w:ascii="Calibri" w:eastAsia="Calibri" w:hAnsi="Calibri" w:cs="Times New Roman"/>
      <w:b/>
      <w:bCs/>
      <w:sz w:val="20"/>
      <w:szCs w:val="20"/>
    </w:rPr>
  </w:style>
  <w:style w:type="paragraph" w:styleId="af8">
    <w:name w:val="Revision"/>
    <w:hidden/>
    <w:uiPriority w:val="99"/>
    <w:semiHidden/>
    <w:rsid w:val="00F243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tbank.statistica.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15693</Words>
  <Characters>89452</Characters>
  <Application>Microsoft Office Word</Application>
  <DocSecurity>0</DocSecurity>
  <Lines>745</Lines>
  <Paragraphs>209</Paragraphs>
  <ScaleCrop>false</ScaleCrop>
  <Company>CtrlSoft</Company>
  <LinksUpToDate>false</LinksUpToDate>
  <CharactersWithSpaces>104936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Tatiana TB. Bucur</cp:lastModifiedBy>
  <cp:revision>2</cp:revision>
  <dcterms:created xsi:type="dcterms:W3CDTF">2016-08-05T09:08:00Z</dcterms:created>
  <dcterms:modified xsi:type="dcterms:W3CDTF">2016-08-05T09:11:00Z</dcterms:modified>
</cp:coreProperties>
</file>